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FCE1D" w14:textId="3E0D94F4" w:rsidR="002E034D" w:rsidRPr="00CB168F" w:rsidRDefault="002E034D" w:rsidP="002E034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733DB">
        <w:rPr>
          <w:rFonts w:ascii="Arial" w:hAnsi="Arial" w:cs="Arial"/>
          <w:b/>
          <w:sz w:val="24"/>
          <w:lang w:val="en-US"/>
        </w:rPr>
        <w:t>3GPP TSG-RAN5 Meeting #86-e</w:t>
      </w:r>
      <w:r w:rsidRPr="00052390">
        <w:rPr>
          <w:rFonts w:ascii="Arial" w:hAnsi="Arial" w:cs="Arial"/>
          <w:b/>
          <w:sz w:val="24"/>
          <w:lang w:val="en-US"/>
        </w:rPr>
        <w:tab/>
      </w:r>
      <w:r w:rsidRPr="00052390">
        <w:rPr>
          <w:rFonts w:ascii="Arial" w:hAnsi="Arial" w:cs="Arial"/>
          <w:b/>
          <w:sz w:val="24"/>
          <w:lang w:val="en-US"/>
        </w:rPr>
        <w:tab/>
      </w:r>
      <w:r w:rsidR="00E00437" w:rsidRPr="00E00437">
        <w:rPr>
          <w:rFonts w:ascii="Arial" w:hAnsi="Arial" w:cs="Arial"/>
          <w:b/>
          <w:sz w:val="24"/>
          <w:lang w:val="en-US"/>
        </w:rPr>
        <w:t>R5-200316</w:t>
      </w:r>
      <w:r w:rsidRPr="00052390">
        <w:rPr>
          <w:rFonts w:ascii="Arial" w:hAnsi="Arial" w:cs="Arial"/>
          <w:b/>
          <w:sz w:val="24"/>
          <w:lang w:val="en-US"/>
        </w:rPr>
        <w:br/>
      </w:r>
      <w:r w:rsidRPr="009733DB">
        <w:rPr>
          <w:rFonts w:ascii="Arial" w:hAnsi="Arial" w:cs="Arial"/>
          <w:b/>
          <w:sz w:val="24"/>
        </w:rPr>
        <w:t>Electronic Meeting, 17th – 28th February 2020</w:t>
      </w:r>
      <w:r w:rsidRPr="00B24E76">
        <w:rPr>
          <w:rFonts w:ascii="Arial" w:hAnsi="Arial" w:cs="Arial"/>
          <w:b/>
          <w:sz w:val="24"/>
        </w:rPr>
        <w:t xml:space="preserve"> </w:t>
      </w:r>
    </w:p>
    <w:bookmarkEnd w:id="0"/>
    <w:p w14:paraId="35952387" w14:textId="77777777" w:rsidR="00816C9D" w:rsidRPr="0008103A" w:rsidRDefault="00816C9D" w:rsidP="00816C9D">
      <w:pPr>
        <w:rPr>
          <w:rFonts w:ascii="Arial" w:hAnsi="Arial" w:cs="Arial"/>
          <w:b/>
          <w:sz w:val="24"/>
          <w:szCs w:val="24"/>
        </w:rPr>
      </w:pPr>
    </w:p>
    <w:p w14:paraId="35952388" w14:textId="625F976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E00437" w:rsidRPr="00E00437">
        <w:rPr>
          <w:rFonts w:ascii="Arial" w:hAnsi="Arial" w:cs="Arial"/>
          <w:sz w:val="24"/>
          <w:szCs w:val="24"/>
        </w:rPr>
        <w:t>5.3.2.17</w:t>
      </w:r>
      <w:bookmarkStart w:id="3" w:name="_GoBack"/>
      <w:bookmarkEnd w:id="3"/>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580F156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70080D">
        <w:rPr>
          <w:rFonts w:ascii="Arial" w:hAnsi="Arial" w:cs="Arial"/>
          <w:sz w:val="24"/>
          <w:szCs w:val="24"/>
        </w:rPr>
        <w:t xml:space="preserve">On </w:t>
      </w:r>
      <w:bookmarkEnd w:id="4"/>
      <w:r w:rsidR="0070080D" w:rsidRPr="0070080D">
        <w:rPr>
          <w:rFonts w:ascii="Arial" w:hAnsi="Arial" w:cs="Arial"/>
          <w:sz w:val="24"/>
          <w:szCs w:val="24"/>
        </w:rPr>
        <w:t>AP#85.28</w:t>
      </w:r>
      <w:r w:rsidR="0070080D">
        <w:rPr>
          <w:rFonts w:ascii="Arial" w:hAnsi="Arial" w:cs="Arial"/>
          <w:sz w:val="24"/>
          <w:szCs w:val="24"/>
        </w:rPr>
        <w:t>: n259 MU Estimate</w:t>
      </w:r>
    </w:p>
    <w:p w14:paraId="3595238B" w14:textId="3E9D9EB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70080D">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316BAEB1" w:rsidR="000606FD" w:rsidRDefault="0070080D" w:rsidP="000606FD">
      <w:pPr>
        <w:ind w:left="48"/>
        <w:rPr>
          <w:rFonts w:eastAsia="Batang"/>
        </w:rPr>
      </w:pPr>
      <w:r>
        <w:rPr>
          <w:rFonts w:eastAsia="Batang"/>
        </w:rPr>
        <w:t xml:space="preserve">This contribution addresses the action point AP#85.28 created last meeting to the TE vendors. </w:t>
      </w:r>
    </w:p>
    <w:p w14:paraId="3595238E" w14:textId="77777777" w:rsidR="0053435C" w:rsidRDefault="00AF0F4C" w:rsidP="0053435C">
      <w:pPr>
        <w:pStyle w:val="Heading1"/>
        <w:ind w:left="567" w:hanging="567"/>
      </w:pPr>
      <w:r>
        <w:t>Discussion</w:t>
      </w:r>
    </w:p>
    <w:p w14:paraId="3595238F" w14:textId="408947F8" w:rsidR="00E03F11" w:rsidRDefault="0070080D" w:rsidP="00E03F11">
      <w:r>
        <w:t xml:space="preserve">In RAN5#85, action point AP#85.28 was created </w:t>
      </w:r>
    </w:p>
    <w:tbl>
      <w:tblPr>
        <w:tblStyle w:val="TableTheme"/>
        <w:tblW w:w="9420" w:type="dxa"/>
        <w:tblLook w:val="04A0" w:firstRow="1" w:lastRow="0" w:firstColumn="1" w:lastColumn="0" w:noHBand="0" w:noVBand="1"/>
      </w:tblPr>
      <w:tblGrid>
        <w:gridCol w:w="1216"/>
        <w:gridCol w:w="679"/>
        <w:gridCol w:w="3543"/>
        <w:gridCol w:w="1592"/>
        <w:gridCol w:w="1351"/>
        <w:gridCol w:w="1039"/>
      </w:tblGrid>
      <w:tr w:rsidR="00116213" w:rsidRPr="0070080D" w14:paraId="62EC27CF" w14:textId="77777777" w:rsidTr="00116213">
        <w:trPr>
          <w:trHeight w:val="204"/>
        </w:trPr>
        <w:tc>
          <w:tcPr>
            <w:tcW w:w="1216" w:type="dxa"/>
            <w:hideMark/>
          </w:tcPr>
          <w:p w14:paraId="5FDEB210" w14:textId="77777777" w:rsidR="00116213" w:rsidRPr="0070080D" w:rsidRDefault="00116213" w:rsidP="00116213">
            <w:pPr>
              <w:rPr>
                <w:lang w:val="en-US"/>
              </w:rPr>
            </w:pPr>
            <w:r w:rsidRPr="0070080D">
              <w:rPr>
                <w:b/>
                <w:bCs/>
              </w:rPr>
              <w:t>Action ID</w:t>
            </w:r>
          </w:p>
        </w:tc>
        <w:tc>
          <w:tcPr>
            <w:tcW w:w="679" w:type="dxa"/>
            <w:hideMark/>
          </w:tcPr>
          <w:p w14:paraId="7D620260" w14:textId="77777777" w:rsidR="00116213" w:rsidRPr="0070080D" w:rsidRDefault="00116213" w:rsidP="00116213">
            <w:pPr>
              <w:rPr>
                <w:lang w:val="en-US"/>
              </w:rPr>
            </w:pPr>
            <w:r w:rsidRPr="0070080D">
              <w:rPr>
                <w:b/>
                <w:bCs/>
              </w:rPr>
              <w:t>sWG</w:t>
            </w:r>
          </w:p>
        </w:tc>
        <w:tc>
          <w:tcPr>
            <w:tcW w:w="3543" w:type="dxa"/>
            <w:hideMark/>
          </w:tcPr>
          <w:p w14:paraId="340212AA" w14:textId="77777777" w:rsidR="00116213" w:rsidRPr="0070080D" w:rsidRDefault="00116213" w:rsidP="00116213">
            <w:pPr>
              <w:rPr>
                <w:lang w:val="en-US"/>
              </w:rPr>
            </w:pPr>
            <w:r w:rsidRPr="0070080D">
              <w:rPr>
                <w:b/>
                <w:bCs/>
              </w:rPr>
              <w:t>Action</w:t>
            </w:r>
          </w:p>
        </w:tc>
        <w:tc>
          <w:tcPr>
            <w:tcW w:w="1592" w:type="dxa"/>
            <w:hideMark/>
          </w:tcPr>
          <w:p w14:paraId="4E92CBEA" w14:textId="77777777" w:rsidR="00116213" w:rsidRPr="0070080D" w:rsidRDefault="00116213" w:rsidP="00116213">
            <w:pPr>
              <w:rPr>
                <w:lang w:val="en-US"/>
              </w:rPr>
            </w:pPr>
            <w:r w:rsidRPr="0070080D">
              <w:rPr>
                <w:b/>
                <w:bCs/>
              </w:rPr>
              <w:t>Responsible</w:t>
            </w:r>
          </w:p>
        </w:tc>
        <w:tc>
          <w:tcPr>
            <w:tcW w:w="1351" w:type="dxa"/>
            <w:hideMark/>
          </w:tcPr>
          <w:p w14:paraId="70A5A6C6" w14:textId="77777777" w:rsidR="00116213" w:rsidRPr="0070080D" w:rsidRDefault="00116213" w:rsidP="00116213">
            <w:pPr>
              <w:rPr>
                <w:lang w:val="en-US"/>
              </w:rPr>
            </w:pPr>
            <w:r w:rsidRPr="0070080D">
              <w:rPr>
                <w:b/>
                <w:bCs/>
              </w:rPr>
              <w:t>Relevant Tdoc</w:t>
            </w:r>
          </w:p>
        </w:tc>
        <w:tc>
          <w:tcPr>
            <w:tcW w:w="1039" w:type="dxa"/>
            <w:hideMark/>
          </w:tcPr>
          <w:p w14:paraId="1DFBE0CF" w14:textId="77777777" w:rsidR="00116213" w:rsidRPr="0070080D" w:rsidRDefault="00116213" w:rsidP="00116213">
            <w:pPr>
              <w:rPr>
                <w:lang w:val="en-US"/>
              </w:rPr>
            </w:pPr>
            <w:r w:rsidRPr="0070080D">
              <w:rPr>
                <w:b/>
                <w:bCs/>
              </w:rPr>
              <w:t>Deadline</w:t>
            </w:r>
          </w:p>
        </w:tc>
      </w:tr>
      <w:tr w:rsidR="00116213" w:rsidRPr="0070080D" w14:paraId="18CA0911" w14:textId="77777777" w:rsidTr="00116213">
        <w:trPr>
          <w:trHeight w:val="715"/>
        </w:trPr>
        <w:tc>
          <w:tcPr>
            <w:tcW w:w="1216" w:type="dxa"/>
            <w:hideMark/>
          </w:tcPr>
          <w:p w14:paraId="18C01C66" w14:textId="77777777" w:rsidR="00116213" w:rsidRPr="0070080D" w:rsidRDefault="00116213" w:rsidP="00116213">
            <w:pPr>
              <w:rPr>
                <w:lang w:val="en-US"/>
              </w:rPr>
            </w:pPr>
            <w:r w:rsidRPr="0070080D">
              <w:rPr>
                <w:b/>
                <w:bCs/>
              </w:rPr>
              <w:t>AP#85.28</w:t>
            </w:r>
          </w:p>
        </w:tc>
        <w:tc>
          <w:tcPr>
            <w:tcW w:w="679" w:type="dxa"/>
            <w:hideMark/>
          </w:tcPr>
          <w:p w14:paraId="1D0E339F" w14:textId="77777777" w:rsidR="00116213" w:rsidRPr="0070080D" w:rsidRDefault="00116213" w:rsidP="00116213">
            <w:pPr>
              <w:rPr>
                <w:lang w:val="en-US"/>
              </w:rPr>
            </w:pPr>
            <w:r w:rsidRPr="0070080D">
              <w:t>RF</w:t>
            </w:r>
          </w:p>
        </w:tc>
        <w:tc>
          <w:tcPr>
            <w:tcW w:w="3543" w:type="dxa"/>
            <w:hideMark/>
          </w:tcPr>
          <w:p w14:paraId="44DF27F0" w14:textId="77777777" w:rsidR="00116213" w:rsidRPr="0070080D" w:rsidRDefault="00116213" w:rsidP="00116213">
            <w:pPr>
              <w:rPr>
                <w:lang w:val="en-US"/>
              </w:rPr>
            </w:pPr>
            <w:r w:rsidRPr="0070080D">
              <w:rPr>
                <w:lang w:val="en-CA"/>
              </w:rPr>
              <w:t>FR2c (band n259) MU estimate for Prioritized test cases (MOP TRP/EIRP , Refsense, Freq error, SEM)</w:t>
            </w:r>
          </w:p>
        </w:tc>
        <w:tc>
          <w:tcPr>
            <w:tcW w:w="1592" w:type="dxa"/>
            <w:hideMark/>
          </w:tcPr>
          <w:p w14:paraId="400BFF79" w14:textId="77777777" w:rsidR="00116213" w:rsidRPr="0070080D" w:rsidRDefault="00116213" w:rsidP="00116213">
            <w:pPr>
              <w:rPr>
                <w:lang w:val="en-US"/>
              </w:rPr>
            </w:pPr>
            <w:r w:rsidRPr="0070080D">
              <w:t>KEYS, Anritsu, R&amp;S</w:t>
            </w:r>
          </w:p>
        </w:tc>
        <w:tc>
          <w:tcPr>
            <w:tcW w:w="1351" w:type="dxa"/>
            <w:hideMark/>
          </w:tcPr>
          <w:p w14:paraId="2754A445" w14:textId="77777777" w:rsidR="00116213" w:rsidRPr="0070080D" w:rsidRDefault="00116213" w:rsidP="00116213">
            <w:pPr>
              <w:rPr>
                <w:lang w:val="en-US"/>
              </w:rPr>
            </w:pPr>
            <w:r w:rsidRPr="0070080D">
              <w:rPr>
                <w:lang w:val="en-US"/>
              </w:rPr>
              <w:t>R5-198071</w:t>
            </w:r>
          </w:p>
        </w:tc>
        <w:tc>
          <w:tcPr>
            <w:tcW w:w="1039" w:type="dxa"/>
            <w:hideMark/>
          </w:tcPr>
          <w:p w14:paraId="752EA056" w14:textId="77777777" w:rsidR="00116213" w:rsidRPr="0070080D" w:rsidRDefault="00116213" w:rsidP="00116213">
            <w:pPr>
              <w:rPr>
                <w:lang w:val="en-US"/>
              </w:rPr>
            </w:pPr>
            <w:r w:rsidRPr="0070080D">
              <w:t>RAN5#86</w:t>
            </w:r>
          </w:p>
        </w:tc>
      </w:tr>
    </w:tbl>
    <w:p w14:paraId="58F72580" w14:textId="65FC511A" w:rsidR="0070080D" w:rsidRDefault="0070080D" w:rsidP="00E03F11">
      <w:r>
        <w:t xml:space="preserve">to “define </w:t>
      </w:r>
      <w:r w:rsidRPr="0070080D">
        <w:t>upper limit of MU for TT calculation and ratio based on the analysis from MU contributors</w:t>
      </w:r>
      <w:r>
        <w:t xml:space="preserve">” </w:t>
      </w:r>
      <w:r>
        <w:fldChar w:fldCharType="begin"/>
      </w:r>
      <w:r>
        <w:instrText xml:space="preserve"> REF _Ref31188387 \n \h </w:instrText>
      </w:r>
      <w:r>
        <w:fldChar w:fldCharType="separate"/>
      </w:r>
      <w:r>
        <w:t>[1]</w:t>
      </w:r>
      <w:r>
        <w:fldChar w:fldCharType="end"/>
      </w:r>
      <w:r w:rsidR="00C77643">
        <w:t xml:space="preserve"> which resulted in AP#85.29</w:t>
      </w:r>
    </w:p>
    <w:tbl>
      <w:tblPr>
        <w:tblStyle w:val="TableTheme"/>
        <w:tblW w:w="9420" w:type="dxa"/>
        <w:tblLook w:val="04A0" w:firstRow="1" w:lastRow="0" w:firstColumn="1" w:lastColumn="0" w:noHBand="0" w:noVBand="1"/>
      </w:tblPr>
      <w:tblGrid>
        <w:gridCol w:w="1216"/>
        <w:gridCol w:w="679"/>
        <w:gridCol w:w="3543"/>
        <w:gridCol w:w="1592"/>
        <w:gridCol w:w="1351"/>
        <w:gridCol w:w="1039"/>
      </w:tblGrid>
      <w:tr w:rsidR="00C77643" w:rsidRPr="0070080D" w14:paraId="3FBBC4C9" w14:textId="77777777" w:rsidTr="00C77643">
        <w:trPr>
          <w:trHeight w:val="204"/>
        </w:trPr>
        <w:tc>
          <w:tcPr>
            <w:tcW w:w="1216" w:type="dxa"/>
            <w:hideMark/>
          </w:tcPr>
          <w:p w14:paraId="5EB3CDCF" w14:textId="77777777" w:rsidR="00C77643" w:rsidRPr="0070080D" w:rsidRDefault="00C77643" w:rsidP="00554FF2">
            <w:pPr>
              <w:rPr>
                <w:lang w:val="en-US"/>
              </w:rPr>
            </w:pPr>
            <w:r w:rsidRPr="0070080D">
              <w:rPr>
                <w:b/>
                <w:bCs/>
              </w:rPr>
              <w:t>Action ID</w:t>
            </w:r>
          </w:p>
        </w:tc>
        <w:tc>
          <w:tcPr>
            <w:tcW w:w="679" w:type="dxa"/>
            <w:hideMark/>
          </w:tcPr>
          <w:p w14:paraId="32EB6D3E" w14:textId="77777777" w:rsidR="00C77643" w:rsidRPr="0070080D" w:rsidRDefault="00C77643" w:rsidP="00554FF2">
            <w:pPr>
              <w:rPr>
                <w:lang w:val="en-US"/>
              </w:rPr>
            </w:pPr>
            <w:r w:rsidRPr="0070080D">
              <w:rPr>
                <w:b/>
                <w:bCs/>
              </w:rPr>
              <w:t>sWG</w:t>
            </w:r>
          </w:p>
        </w:tc>
        <w:tc>
          <w:tcPr>
            <w:tcW w:w="3543" w:type="dxa"/>
            <w:hideMark/>
          </w:tcPr>
          <w:p w14:paraId="0CCAC4B5" w14:textId="77777777" w:rsidR="00C77643" w:rsidRPr="0070080D" w:rsidRDefault="00C77643" w:rsidP="00554FF2">
            <w:pPr>
              <w:rPr>
                <w:lang w:val="en-US"/>
              </w:rPr>
            </w:pPr>
            <w:r w:rsidRPr="0070080D">
              <w:rPr>
                <w:b/>
                <w:bCs/>
              </w:rPr>
              <w:t>Action</w:t>
            </w:r>
          </w:p>
        </w:tc>
        <w:tc>
          <w:tcPr>
            <w:tcW w:w="1592" w:type="dxa"/>
            <w:hideMark/>
          </w:tcPr>
          <w:p w14:paraId="59E91DC8" w14:textId="77777777" w:rsidR="00C77643" w:rsidRPr="0070080D" w:rsidRDefault="00C77643" w:rsidP="00554FF2">
            <w:pPr>
              <w:rPr>
                <w:lang w:val="en-US"/>
              </w:rPr>
            </w:pPr>
            <w:r w:rsidRPr="0070080D">
              <w:rPr>
                <w:b/>
                <w:bCs/>
              </w:rPr>
              <w:t>Responsible</w:t>
            </w:r>
          </w:p>
        </w:tc>
        <w:tc>
          <w:tcPr>
            <w:tcW w:w="1351" w:type="dxa"/>
            <w:hideMark/>
          </w:tcPr>
          <w:p w14:paraId="5F286D2D" w14:textId="77777777" w:rsidR="00C77643" w:rsidRPr="0070080D" w:rsidRDefault="00C77643" w:rsidP="00554FF2">
            <w:pPr>
              <w:rPr>
                <w:lang w:val="en-US"/>
              </w:rPr>
            </w:pPr>
            <w:r w:rsidRPr="0070080D">
              <w:rPr>
                <w:b/>
                <w:bCs/>
              </w:rPr>
              <w:t>Relevant Tdoc</w:t>
            </w:r>
          </w:p>
        </w:tc>
        <w:tc>
          <w:tcPr>
            <w:tcW w:w="1039" w:type="dxa"/>
            <w:hideMark/>
          </w:tcPr>
          <w:p w14:paraId="2CF14A4A" w14:textId="77777777" w:rsidR="00C77643" w:rsidRPr="0070080D" w:rsidRDefault="00C77643" w:rsidP="00554FF2">
            <w:pPr>
              <w:rPr>
                <w:lang w:val="en-US"/>
              </w:rPr>
            </w:pPr>
            <w:r w:rsidRPr="0070080D">
              <w:rPr>
                <w:b/>
                <w:bCs/>
              </w:rPr>
              <w:t>Deadline</w:t>
            </w:r>
          </w:p>
        </w:tc>
      </w:tr>
      <w:tr w:rsidR="00C77643" w:rsidRPr="0070080D" w14:paraId="7E7BE9E2" w14:textId="77777777" w:rsidTr="00C77643">
        <w:trPr>
          <w:trHeight w:val="715"/>
        </w:trPr>
        <w:tc>
          <w:tcPr>
            <w:tcW w:w="1216" w:type="dxa"/>
            <w:vAlign w:val="center"/>
            <w:hideMark/>
          </w:tcPr>
          <w:p w14:paraId="21792CF0" w14:textId="0E979892" w:rsidR="00C77643" w:rsidRPr="0070080D" w:rsidRDefault="00C77643" w:rsidP="00C77643">
            <w:pPr>
              <w:rPr>
                <w:lang w:val="en-US"/>
              </w:rPr>
            </w:pPr>
            <w:r w:rsidRPr="00C77643">
              <w:rPr>
                <w:b/>
                <w:bCs/>
                <w:kern w:val="24"/>
              </w:rPr>
              <w:t>AP#85.29</w:t>
            </w:r>
          </w:p>
        </w:tc>
        <w:tc>
          <w:tcPr>
            <w:tcW w:w="679" w:type="dxa"/>
            <w:hideMark/>
          </w:tcPr>
          <w:p w14:paraId="40BDA577" w14:textId="6364D8EA" w:rsidR="00C77643" w:rsidRPr="0070080D" w:rsidRDefault="00C77643" w:rsidP="00C77643">
            <w:pPr>
              <w:rPr>
                <w:lang w:val="en-US"/>
              </w:rPr>
            </w:pPr>
            <w:r w:rsidRPr="00C77643">
              <w:rPr>
                <w:kern w:val="24"/>
              </w:rPr>
              <w:t>RF</w:t>
            </w:r>
          </w:p>
        </w:tc>
        <w:tc>
          <w:tcPr>
            <w:tcW w:w="3543" w:type="dxa"/>
            <w:hideMark/>
          </w:tcPr>
          <w:p w14:paraId="46819B80" w14:textId="3EC5E731" w:rsidR="00C77643" w:rsidRPr="0070080D" w:rsidRDefault="00C77643" w:rsidP="00C77643">
            <w:pPr>
              <w:rPr>
                <w:lang w:val="en-US"/>
              </w:rPr>
            </w:pPr>
            <w:r w:rsidRPr="00C77643">
              <w:rPr>
                <w:kern w:val="24"/>
                <w:lang w:val="en-CA"/>
              </w:rPr>
              <w:t>Define upper limit of MU for TT calculation and ratio for FR2c (band n259) based on AP#85.27</w:t>
            </w:r>
          </w:p>
        </w:tc>
        <w:tc>
          <w:tcPr>
            <w:tcW w:w="1592" w:type="dxa"/>
            <w:hideMark/>
          </w:tcPr>
          <w:p w14:paraId="75374C19" w14:textId="30244070" w:rsidR="00C77643" w:rsidRPr="0070080D" w:rsidRDefault="00C77643" w:rsidP="00C77643">
            <w:pPr>
              <w:rPr>
                <w:lang w:val="en-US"/>
              </w:rPr>
            </w:pPr>
            <w:r w:rsidRPr="00C77643">
              <w:rPr>
                <w:kern w:val="24"/>
              </w:rPr>
              <w:t xml:space="preserve">DCM, and RAN5 </w:t>
            </w:r>
          </w:p>
        </w:tc>
        <w:tc>
          <w:tcPr>
            <w:tcW w:w="1351" w:type="dxa"/>
            <w:hideMark/>
          </w:tcPr>
          <w:p w14:paraId="656F49AD" w14:textId="2AC9A52A" w:rsidR="00C77643" w:rsidRPr="0070080D" w:rsidRDefault="00C77643" w:rsidP="00C77643">
            <w:pPr>
              <w:rPr>
                <w:lang w:val="en-US"/>
              </w:rPr>
            </w:pPr>
            <w:r w:rsidRPr="00C77643">
              <w:rPr>
                <w:kern w:val="24"/>
              </w:rPr>
              <w:t>R5-198071</w:t>
            </w:r>
          </w:p>
        </w:tc>
        <w:tc>
          <w:tcPr>
            <w:tcW w:w="1039" w:type="dxa"/>
            <w:hideMark/>
          </w:tcPr>
          <w:p w14:paraId="796A4F94" w14:textId="58F1A269" w:rsidR="00C77643" w:rsidRPr="0070080D" w:rsidRDefault="00C77643" w:rsidP="00C77643">
            <w:pPr>
              <w:rPr>
                <w:lang w:val="en-US"/>
              </w:rPr>
            </w:pPr>
            <w:r w:rsidRPr="00C77643">
              <w:rPr>
                <w:kern w:val="24"/>
              </w:rPr>
              <w:t>RAN5#86</w:t>
            </w:r>
          </w:p>
        </w:tc>
      </w:tr>
    </w:tbl>
    <w:p w14:paraId="0F65005D" w14:textId="7B331BBA" w:rsidR="00C77643" w:rsidRDefault="00C77643" w:rsidP="00E03F11">
      <w:r>
        <w:t xml:space="preserve">This contribution addresses AP#85.28 to provide a preliminary and non-binding MU estimate for select cases that have been completed already. It should be emphasized though that the MU values presented in this contribution are merely estimates and that TE vendors need more time before the MU values and MTSU for n259, specifically FR2c, are finalized. This is in-line with an expectation stated in the WF on n259 </w:t>
      </w:r>
      <w:r>
        <w:fldChar w:fldCharType="begin"/>
      </w:r>
      <w:r>
        <w:instrText xml:space="preserve"> REF _Ref31188387 \n \h </w:instrText>
      </w:r>
      <w:r>
        <w:fldChar w:fldCharType="separate"/>
      </w:r>
      <w:r>
        <w:t>[1]</w:t>
      </w:r>
      <w:r>
        <w:fldChar w:fldCharType="end"/>
      </w:r>
    </w:p>
    <w:tbl>
      <w:tblPr>
        <w:tblStyle w:val="TableGrid"/>
        <w:tblW w:w="0" w:type="auto"/>
        <w:tblLook w:val="04A0" w:firstRow="1" w:lastRow="0" w:firstColumn="1" w:lastColumn="0" w:noHBand="0" w:noVBand="1"/>
      </w:tblPr>
      <w:tblGrid>
        <w:gridCol w:w="9631"/>
      </w:tblGrid>
      <w:tr w:rsidR="00C77643" w14:paraId="19BD59BA" w14:textId="77777777" w:rsidTr="00C77643">
        <w:tc>
          <w:tcPr>
            <w:tcW w:w="9631" w:type="dxa"/>
          </w:tcPr>
          <w:p w14:paraId="20397349" w14:textId="77777777" w:rsidR="00C77643" w:rsidRPr="00C77643" w:rsidRDefault="00C77643" w:rsidP="00C77643">
            <w:pPr>
              <w:numPr>
                <w:ilvl w:val="0"/>
                <w:numId w:val="39"/>
              </w:numPr>
              <w:rPr>
                <w:lang w:val="en-US"/>
              </w:rPr>
            </w:pPr>
            <w:r w:rsidRPr="00C77643">
              <w:rPr>
                <w:b/>
                <w:bCs/>
                <w:lang w:val="en-US"/>
              </w:rPr>
              <w:t>Action point</w:t>
            </w:r>
          </w:p>
          <w:p w14:paraId="570883DF" w14:textId="77777777" w:rsidR="00C77643" w:rsidRPr="00C77643" w:rsidRDefault="00C77643" w:rsidP="00C77643">
            <w:pPr>
              <w:numPr>
                <w:ilvl w:val="1"/>
                <w:numId w:val="39"/>
              </w:numPr>
              <w:rPr>
                <w:lang w:val="en-US"/>
              </w:rPr>
            </w:pPr>
            <w:r w:rsidRPr="00C77643">
              <w:rPr>
                <w:lang w:val="en-US"/>
              </w:rPr>
              <w:t>These MU value will be used only for TT discussions.</w:t>
            </w:r>
          </w:p>
          <w:p w14:paraId="26C61FC4" w14:textId="0F30CC2F" w:rsidR="00C77643" w:rsidRPr="00C77643" w:rsidRDefault="00C77643" w:rsidP="00E03F11">
            <w:pPr>
              <w:numPr>
                <w:ilvl w:val="1"/>
                <w:numId w:val="39"/>
              </w:numPr>
              <w:rPr>
                <w:lang w:val="en-US"/>
              </w:rPr>
            </w:pPr>
            <w:r w:rsidRPr="00C77643">
              <w:rPr>
                <w:highlight w:val="yellow"/>
                <w:lang w:val="en-US"/>
              </w:rPr>
              <w:t>It is not intention to finalize MTSU value during RAN5#86 (Feb-2020).</w:t>
            </w:r>
          </w:p>
        </w:tc>
      </w:tr>
    </w:tbl>
    <w:p w14:paraId="79644227" w14:textId="5DFFDEEA" w:rsidR="00116213" w:rsidRDefault="00116213" w:rsidP="00116213">
      <w:r>
        <w:t xml:space="preserve">As MU measurements and simulations have not been finalized for this new frequency range and as the WI on n259 has not been completed yet </w:t>
      </w:r>
      <w:r>
        <w:fldChar w:fldCharType="begin"/>
      </w:r>
      <w:r>
        <w:instrText xml:space="preserve"> REF _Ref31189917 \n \h </w:instrText>
      </w:r>
      <w:r>
        <w:fldChar w:fldCharType="separate"/>
      </w:r>
      <w:r>
        <w:t>[2]</w:t>
      </w:r>
      <w:r>
        <w:fldChar w:fldCharType="end"/>
      </w:r>
      <w:r>
        <w:t xml:space="preserve">, only MU estimates for this band can be provided. </w:t>
      </w:r>
    </w:p>
    <w:p w14:paraId="34E1462B" w14:textId="0143881F" w:rsidR="00C77643" w:rsidRDefault="00C77643" w:rsidP="00E03F11">
      <w:r>
        <w:t xml:space="preserve">In </w:t>
      </w:r>
      <w:r>
        <w:fldChar w:fldCharType="begin"/>
      </w:r>
      <w:r>
        <w:instrText xml:space="preserve"> REF _Ref31188387 \n \h </w:instrText>
      </w:r>
      <w:r>
        <w:fldChar w:fldCharType="separate"/>
      </w:r>
      <w:r>
        <w:t>[1]</w:t>
      </w:r>
      <w:r>
        <w:fldChar w:fldCharType="end"/>
      </w:r>
      <w:r>
        <w:t>, FR2c was defined</w:t>
      </w:r>
      <w:r w:rsidR="00130678">
        <w:t xml:space="preserve"> with upper and lower bound in frequency of 40.8GHz and 44.3GHz, respectively, as illustrated in </w:t>
      </w:r>
      <w:r w:rsidR="00130678">
        <w:fldChar w:fldCharType="begin"/>
      </w:r>
      <w:r w:rsidR="00130678">
        <w:instrText xml:space="preserve"> REF _Ref31189496 \h </w:instrText>
      </w:r>
      <w:r w:rsidR="00130678">
        <w:fldChar w:fldCharType="separate"/>
      </w:r>
      <w:r w:rsidR="00130678">
        <w:t xml:space="preserve">Figure </w:t>
      </w:r>
      <w:r w:rsidR="00130678">
        <w:rPr>
          <w:noProof/>
        </w:rPr>
        <w:t>1</w:t>
      </w:r>
      <w:r w:rsidR="00130678">
        <w:fldChar w:fldCharType="end"/>
      </w:r>
      <w:r w:rsidR="00130678">
        <w:t xml:space="preserve">. </w:t>
      </w:r>
    </w:p>
    <w:p w14:paraId="783B54CD" w14:textId="576ED82D" w:rsidR="00C77643" w:rsidRDefault="00130678" w:rsidP="00130678">
      <w:pPr>
        <w:spacing w:after="0"/>
        <w:jc w:val="center"/>
      </w:pPr>
      <w:r>
        <w:rPr>
          <w:noProof/>
        </w:rPr>
        <w:lastRenderedPageBreak/>
        <w:drawing>
          <wp:inline distT="0" distB="0" distL="0" distR="0" wp14:anchorId="2E99DBED" wp14:editId="79291CB9">
            <wp:extent cx="4572000" cy="1363652"/>
            <wp:effectExtent l="0" t="0" r="0" b="0"/>
            <wp:docPr id="1865648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2000" cy="1363652"/>
                    </a:xfrm>
                    <a:prstGeom prst="rect">
                      <a:avLst/>
                    </a:prstGeom>
                  </pic:spPr>
                </pic:pic>
              </a:graphicData>
            </a:graphic>
          </wp:inline>
        </w:drawing>
      </w:r>
    </w:p>
    <w:p w14:paraId="526818CD" w14:textId="29F49EB1" w:rsidR="00130678" w:rsidRDefault="00130678" w:rsidP="00130678">
      <w:pPr>
        <w:pStyle w:val="Caption"/>
        <w:jc w:val="center"/>
      </w:pPr>
      <w:bookmarkStart w:id="5" w:name="_Ref31189496"/>
      <w:r>
        <w:t xml:space="preserve">Figure </w:t>
      </w:r>
      <w:r>
        <w:fldChar w:fldCharType="begin"/>
      </w:r>
      <w:r>
        <w:instrText xml:space="preserve"> SEQ Figure \* ARABIC </w:instrText>
      </w:r>
      <w:r>
        <w:fldChar w:fldCharType="separate"/>
      </w:r>
      <w:r w:rsidR="009A282A">
        <w:rPr>
          <w:noProof/>
        </w:rPr>
        <w:t>1</w:t>
      </w:r>
      <w:r>
        <w:fldChar w:fldCharType="end"/>
      </w:r>
      <w:bookmarkEnd w:id="5"/>
      <w:r>
        <w:t xml:space="preserve">: Illustration of FR2a, FR2b, and FR2c Bounds (from </w:t>
      </w:r>
      <w:r>
        <w:fldChar w:fldCharType="begin"/>
      </w:r>
      <w:r>
        <w:instrText xml:space="preserve"> REF _Ref31188387 \n \h </w:instrText>
      </w:r>
      <w:r>
        <w:fldChar w:fldCharType="separate"/>
      </w:r>
      <w:r>
        <w:t>[1]</w:t>
      </w:r>
      <w:r>
        <w:fldChar w:fldCharType="end"/>
      </w:r>
      <w:r>
        <w:t>)</w:t>
      </w:r>
    </w:p>
    <w:p w14:paraId="7A98A14A" w14:textId="3A088106" w:rsidR="00651302" w:rsidRDefault="00651302" w:rsidP="00651302">
      <w:r>
        <w:t>The approach used in t</w:t>
      </w:r>
      <w:r w:rsidR="009A282A">
        <w:t xml:space="preserve">his contribution is based on a linear extrapolation of the FR2a and FR2b MUs (at the centre frequencies of the respective bands) to FR2c as illustrated in </w:t>
      </w:r>
      <w:r w:rsidR="009A282A">
        <w:fldChar w:fldCharType="begin"/>
      </w:r>
      <w:r w:rsidR="009A282A">
        <w:instrText xml:space="preserve"> REF _Ref31190920 \h </w:instrText>
      </w:r>
      <w:r w:rsidR="009A282A">
        <w:fldChar w:fldCharType="separate"/>
      </w:r>
      <w:r w:rsidR="009A282A">
        <w:t xml:space="preserve">Figure </w:t>
      </w:r>
      <w:r w:rsidR="009A282A">
        <w:rPr>
          <w:noProof/>
        </w:rPr>
        <w:t>2</w:t>
      </w:r>
      <w:r w:rsidR="009A282A">
        <w:fldChar w:fldCharType="end"/>
      </w:r>
      <w:r w:rsidR="009A282A">
        <w:t>.</w:t>
      </w:r>
    </w:p>
    <w:p w14:paraId="1C28597C" w14:textId="79B68661" w:rsidR="00651302" w:rsidRDefault="009A282A" w:rsidP="009A282A">
      <w:pPr>
        <w:spacing w:after="0"/>
        <w:jc w:val="center"/>
      </w:pPr>
      <w:r>
        <w:rPr>
          <w:noProof/>
        </w:rPr>
        <w:drawing>
          <wp:inline distT="0" distB="0" distL="0" distR="0" wp14:anchorId="01CB2A8F" wp14:editId="16BDD532">
            <wp:extent cx="4572000" cy="1748626"/>
            <wp:effectExtent l="0" t="0" r="0" b="0"/>
            <wp:docPr id="128016306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1748626"/>
                    </a:xfrm>
                    <a:prstGeom prst="rect">
                      <a:avLst/>
                    </a:prstGeom>
                  </pic:spPr>
                </pic:pic>
              </a:graphicData>
            </a:graphic>
          </wp:inline>
        </w:drawing>
      </w:r>
    </w:p>
    <w:p w14:paraId="0D64A036" w14:textId="44AA3AD0" w:rsidR="009A282A" w:rsidRDefault="009A282A" w:rsidP="009A282A">
      <w:pPr>
        <w:pStyle w:val="Caption"/>
        <w:jc w:val="center"/>
      </w:pPr>
      <w:bookmarkStart w:id="6" w:name="_Ref31190920"/>
      <w:r>
        <w:t xml:space="preserve">Figure </w:t>
      </w:r>
      <w:r>
        <w:fldChar w:fldCharType="begin"/>
      </w:r>
      <w:r>
        <w:instrText xml:space="preserve"> SEQ Figure \* ARABIC </w:instrText>
      </w:r>
      <w:r>
        <w:fldChar w:fldCharType="separate"/>
      </w:r>
      <w:r>
        <w:rPr>
          <w:noProof/>
        </w:rPr>
        <w:t>2</w:t>
      </w:r>
      <w:r>
        <w:fldChar w:fldCharType="end"/>
      </w:r>
      <w:bookmarkEnd w:id="6"/>
      <w:r>
        <w:t>: Schematic illustration of proposed linear extrapolation approach to estimate FR2c MU</w:t>
      </w:r>
    </w:p>
    <w:p w14:paraId="3D5D709B" w14:textId="42D8258F" w:rsidR="009A282A" w:rsidRDefault="009A282A" w:rsidP="009A282A">
      <w:r>
        <w:t xml:space="preserve">The TX test cases with </w:t>
      </w:r>
      <w:r w:rsidR="00556929">
        <w:t xml:space="preserve">MUs in FR2a and FR2b completed are listed in </w:t>
      </w:r>
      <w:r w:rsidR="000B1E15">
        <w:fldChar w:fldCharType="begin"/>
      </w:r>
      <w:r w:rsidR="000B1E15">
        <w:instrText xml:space="preserve"> REF _Ref31204094 \h </w:instrText>
      </w:r>
      <w:r w:rsidR="000B1E15">
        <w:fldChar w:fldCharType="separate"/>
      </w:r>
      <w:r w:rsidR="000B1E15">
        <w:t xml:space="preserve">Table </w:t>
      </w:r>
      <w:r w:rsidR="000B1E15">
        <w:rPr>
          <w:noProof/>
        </w:rPr>
        <w:t>1</w:t>
      </w:r>
      <w:r w:rsidR="000B1E15">
        <w:fldChar w:fldCharType="end"/>
      </w:r>
      <w:r w:rsidR="000B1E15">
        <w:t xml:space="preserve"> </w:t>
      </w:r>
      <w:r w:rsidR="00556929">
        <w:t xml:space="preserve">together with the </w:t>
      </w:r>
      <w:r w:rsidR="000B1E15">
        <w:t xml:space="preserve">calculated </w:t>
      </w:r>
      <w:r w:rsidR="00556929">
        <w:t xml:space="preserve">FR2c MU estimates. </w:t>
      </w:r>
    </w:p>
    <w:p w14:paraId="69DDC54C" w14:textId="458C786C" w:rsidR="00556929" w:rsidRDefault="00556929" w:rsidP="00556929">
      <w:pPr>
        <w:pStyle w:val="Caption"/>
        <w:jc w:val="center"/>
      </w:pPr>
      <w:bookmarkStart w:id="7" w:name="_Ref31204094"/>
      <w:r>
        <w:t xml:space="preserve">Table </w:t>
      </w:r>
      <w:r>
        <w:fldChar w:fldCharType="begin"/>
      </w:r>
      <w:r>
        <w:instrText xml:space="preserve"> SEQ Table \* ARABIC </w:instrText>
      </w:r>
      <w:r>
        <w:fldChar w:fldCharType="separate"/>
      </w:r>
      <w:r>
        <w:rPr>
          <w:noProof/>
        </w:rPr>
        <w:t>1</w:t>
      </w:r>
      <w:r>
        <w:fldChar w:fldCharType="end"/>
      </w:r>
      <w:bookmarkEnd w:id="7"/>
      <w:r>
        <w:t>: Estimated FR2c MUs based on proposed extrapolation approach for completed TX test cases</w:t>
      </w:r>
    </w:p>
    <w:tbl>
      <w:tblPr>
        <w:tblW w:w="6580" w:type="dxa"/>
        <w:jc w:val="center"/>
        <w:tblLook w:val="04A0" w:firstRow="1" w:lastRow="0" w:firstColumn="1" w:lastColumn="0" w:noHBand="0" w:noVBand="1"/>
      </w:tblPr>
      <w:tblGrid>
        <w:gridCol w:w="2480"/>
        <w:gridCol w:w="1465"/>
        <w:gridCol w:w="1495"/>
        <w:gridCol w:w="1140"/>
      </w:tblGrid>
      <w:tr w:rsidR="00556929" w:rsidRPr="00556929" w14:paraId="0580B2AF" w14:textId="77777777" w:rsidTr="00556929">
        <w:trPr>
          <w:trHeight w:val="290"/>
          <w:jc w:val="center"/>
        </w:trPr>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ED2A1"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Test Case</w:t>
            </w:r>
          </w:p>
        </w:tc>
        <w:tc>
          <w:tcPr>
            <w:tcW w:w="29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349DF"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 xml:space="preserve">MU (from 38.903) = </w:t>
            </w:r>
            <w:r w:rsidRPr="00556929">
              <w:rPr>
                <w:rFonts w:ascii="Calibri" w:eastAsia="Times New Roman" w:hAnsi="Calibri" w:cs="Calibri"/>
                <w:b/>
                <w:bCs/>
                <w:color w:val="000000"/>
                <w:sz w:val="22"/>
                <w:szCs w:val="22"/>
                <w:lang w:val="en-US"/>
              </w:rPr>
              <w:br/>
              <w:t>MTSU (from 38.521-2)</w:t>
            </w:r>
            <w:r w:rsidRPr="00556929">
              <w:rPr>
                <w:rFonts w:ascii="Calibri" w:eastAsia="Times New Roman" w:hAnsi="Calibri" w:cs="Calibri"/>
                <w:b/>
                <w:bCs/>
                <w:color w:val="000000"/>
                <w:sz w:val="22"/>
                <w:szCs w:val="22"/>
                <w:lang w:val="en-US"/>
              </w:rPr>
              <w:br/>
              <w:t>[dB]</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55D2B1"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FR2c MU Estimate</w:t>
            </w:r>
            <w:r w:rsidRPr="00556929">
              <w:rPr>
                <w:rFonts w:ascii="Calibri" w:eastAsia="Times New Roman" w:hAnsi="Calibri" w:cs="Calibri"/>
                <w:b/>
                <w:bCs/>
                <w:color w:val="000000"/>
                <w:sz w:val="22"/>
                <w:szCs w:val="22"/>
                <w:lang w:val="en-US"/>
              </w:rPr>
              <w:br/>
              <w:t>[dB]</w:t>
            </w:r>
          </w:p>
        </w:tc>
      </w:tr>
      <w:tr w:rsidR="00556929" w:rsidRPr="00556929" w14:paraId="0CF39A28" w14:textId="77777777" w:rsidTr="00556929">
        <w:trPr>
          <w:trHeight w:val="870"/>
          <w:jc w:val="center"/>
        </w:trPr>
        <w:tc>
          <w:tcPr>
            <w:tcW w:w="2480" w:type="dxa"/>
            <w:vMerge/>
            <w:tcBorders>
              <w:top w:val="single" w:sz="4" w:space="0" w:color="auto"/>
              <w:left w:val="single" w:sz="4" w:space="0" w:color="auto"/>
              <w:bottom w:val="single" w:sz="4" w:space="0" w:color="auto"/>
              <w:right w:val="single" w:sz="4" w:space="0" w:color="auto"/>
            </w:tcBorders>
            <w:vAlign w:val="center"/>
            <w:hideMark/>
          </w:tcPr>
          <w:p w14:paraId="3553AA02" w14:textId="77777777" w:rsidR="00556929" w:rsidRPr="00556929" w:rsidRDefault="00556929" w:rsidP="00556929">
            <w:pPr>
              <w:spacing w:after="0"/>
              <w:rPr>
                <w:rFonts w:ascii="Calibri" w:eastAsia="Times New Roman" w:hAnsi="Calibri" w:cs="Calibri"/>
                <w:b/>
                <w:bCs/>
                <w:color w:val="000000"/>
                <w:sz w:val="22"/>
                <w:szCs w:val="22"/>
                <w:lang w:val="en-US"/>
              </w:rPr>
            </w:pPr>
          </w:p>
        </w:tc>
        <w:tc>
          <w:tcPr>
            <w:tcW w:w="2960" w:type="dxa"/>
            <w:gridSpan w:val="2"/>
            <w:vMerge/>
            <w:tcBorders>
              <w:top w:val="single" w:sz="4" w:space="0" w:color="auto"/>
              <w:left w:val="single" w:sz="4" w:space="0" w:color="auto"/>
              <w:bottom w:val="single" w:sz="4" w:space="0" w:color="auto"/>
              <w:right w:val="single" w:sz="4" w:space="0" w:color="auto"/>
            </w:tcBorders>
            <w:vAlign w:val="center"/>
            <w:hideMark/>
          </w:tcPr>
          <w:p w14:paraId="65ADDEAC" w14:textId="77777777" w:rsidR="00556929" w:rsidRPr="00556929" w:rsidRDefault="00556929" w:rsidP="00556929">
            <w:pPr>
              <w:spacing w:after="0"/>
              <w:rPr>
                <w:rFonts w:ascii="Calibri" w:eastAsia="Times New Roman" w:hAnsi="Calibri" w:cs="Calibri"/>
                <w:b/>
                <w:bCs/>
                <w:color w:val="000000"/>
                <w:sz w:val="22"/>
                <w:szCs w:val="22"/>
                <w:lang w:val="en-US"/>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14:paraId="5A44656B" w14:textId="77777777" w:rsidR="00556929" w:rsidRPr="00556929" w:rsidRDefault="00556929" w:rsidP="00556929">
            <w:pPr>
              <w:spacing w:after="0"/>
              <w:rPr>
                <w:rFonts w:ascii="Calibri" w:eastAsia="Times New Roman" w:hAnsi="Calibri" w:cs="Calibri"/>
                <w:b/>
                <w:bCs/>
                <w:color w:val="000000"/>
                <w:sz w:val="22"/>
                <w:szCs w:val="22"/>
                <w:lang w:val="en-US"/>
              </w:rPr>
            </w:pPr>
          </w:p>
        </w:tc>
      </w:tr>
      <w:tr w:rsidR="00556929" w:rsidRPr="00556929" w14:paraId="17AA4058" w14:textId="77777777" w:rsidTr="00556929">
        <w:trPr>
          <w:trHeight w:val="290"/>
          <w:jc w:val="center"/>
        </w:trPr>
        <w:tc>
          <w:tcPr>
            <w:tcW w:w="2480" w:type="dxa"/>
            <w:vMerge/>
            <w:tcBorders>
              <w:top w:val="single" w:sz="4" w:space="0" w:color="auto"/>
              <w:left w:val="single" w:sz="4" w:space="0" w:color="auto"/>
              <w:bottom w:val="single" w:sz="4" w:space="0" w:color="auto"/>
              <w:right w:val="single" w:sz="4" w:space="0" w:color="auto"/>
            </w:tcBorders>
            <w:vAlign w:val="center"/>
            <w:hideMark/>
          </w:tcPr>
          <w:p w14:paraId="786DB3AA" w14:textId="77777777" w:rsidR="00556929" w:rsidRPr="00556929" w:rsidRDefault="00556929" w:rsidP="00556929">
            <w:pPr>
              <w:spacing w:after="0"/>
              <w:rPr>
                <w:rFonts w:ascii="Calibri" w:eastAsia="Times New Roman" w:hAnsi="Calibri" w:cs="Calibri"/>
                <w:b/>
                <w:bCs/>
                <w:color w:val="000000"/>
                <w:sz w:val="22"/>
                <w:szCs w:val="22"/>
                <w:lang w:val="en-US"/>
              </w:rPr>
            </w:pPr>
          </w:p>
        </w:tc>
        <w:tc>
          <w:tcPr>
            <w:tcW w:w="1465" w:type="dxa"/>
            <w:tcBorders>
              <w:top w:val="nil"/>
              <w:left w:val="nil"/>
              <w:bottom w:val="single" w:sz="4" w:space="0" w:color="auto"/>
              <w:right w:val="single" w:sz="4" w:space="0" w:color="auto"/>
            </w:tcBorders>
            <w:shd w:val="clear" w:color="auto" w:fill="auto"/>
            <w:noWrap/>
            <w:vAlign w:val="center"/>
            <w:hideMark/>
          </w:tcPr>
          <w:p w14:paraId="2392775F"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FR2a</w:t>
            </w:r>
          </w:p>
        </w:tc>
        <w:tc>
          <w:tcPr>
            <w:tcW w:w="1495" w:type="dxa"/>
            <w:tcBorders>
              <w:top w:val="nil"/>
              <w:left w:val="nil"/>
              <w:bottom w:val="single" w:sz="4" w:space="0" w:color="auto"/>
              <w:right w:val="single" w:sz="4" w:space="0" w:color="auto"/>
            </w:tcBorders>
            <w:shd w:val="clear" w:color="auto" w:fill="auto"/>
            <w:noWrap/>
            <w:vAlign w:val="center"/>
            <w:hideMark/>
          </w:tcPr>
          <w:p w14:paraId="44FA3FAB"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FR2b</w:t>
            </w:r>
          </w:p>
        </w:tc>
        <w:tc>
          <w:tcPr>
            <w:tcW w:w="1140" w:type="dxa"/>
            <w:tcBorders>
              <w:top w:val="nil"/>
              <w:left w:val="nil"/>
              <w:bottom w:val="single" w:sz="4" w:space="0" w:color="auto"/>
              <w:right w:val="single" w:sz="4" w:space="0" w:color="auto"/>
            </w:tcBorders>
            <w:shd w:val="clear" w:color="auto" w:fill="auto"/>
            <w:noWrap/>
            <w:vAlign w:val="center"/>
            <w:hideMark/>
          </w:tcPr>
          <w:p w14:paraId="4F6959E3"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FR2c</w:t>
            </w:r>
          </w:p>
        </w:tc>
      </w:tr>
      <w:tr w:rsidR="00556929" w:rsidRPr="00556929" w14:paraId="14669FFB" w14:textId="77777777" w:rsidTr="00556929">
        <w:trPr>
          <w:trHeight w:val="580"/>
          <w:jc w:val="center"/>
        </w:trPr>
        <w:tc>
          <w:tcPr>
            <w:tcW w:w="2480" w:type="dxa"/>
            <w:tcBorders>
              <w:top w:val="nil"/>
              <w:left w:val="single" w:sz="4" w:space="0" w:color="auto"/>
              <w:bottom w:val="single" w:sz="4" w:space="0" w:color="auto"/>
              <w:right w:val="single" w:sz="4" w:space="0" w:color="auto"/>
            </w:tcBorders>
            <w:shd w:val="clear" w:color="auto" w:fill="auto"/>
            <w:vAlign w:val="center"/>
            <w:hideMark/>
          </w:tcPr>
          <w:p w14:paraId="79733280"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6.2.1.1 UE maximum output power (EIRP)</w:t>
            </w:r>
          </w:p>
        </w:tc>
        <w:tc>
          <w:tcPr>
            <w:tcW w:w="1465" w:type="dxa"/>
            <w:tcBorders>
              <w:top w:val="nil"/>
              <w:left w:val="nil"/>
              <w:bottom w:val="single" w:sz="4" w:space="0" w:color="auto"/>
              <w:right w:val="single" w:sz="4" w:space="0" w:color="auto"/>
            </w:tcBorders>
            <w:shd w:val="clear" w:color="auto" w:fill="auto"/>
            <w:noWrap/>
            <w:vAlign w:val="center"/>
            <w:hideMark/>
          </w:tcPr>
          <w:p w14:paraId="53656417"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4.89</w:t>
            </w:r>
          </w:p>
        </w:tc>
        <w:tc>
          <w:tcPr>
            <w:tcW w:w="1495" w:type="dxa"/>
            <w:tcBorders>
              <w:top w:val="nil"/>
              <w:left w:val="nil"/>
              <w:bottom w:val="single" w:sz="4" w:space="0" w:color="auto"/>
              <w:right w:val="single" w:sz="4" w:space="0" w:color="auto"/>
            </w:tcBorders>
            <w:shd w:val="clear" w:color="auto" w:fill="auto"/>
            <w:noWrap/>
            <w:vAlign w:val="center"/>
            <w:hideMark/>
          </w:tcPr>
          <w:p w14:paraId="73BDAF7A"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5.09</w:t>
            </w:r>
          </w:p>
        </w:tc>
        <w:tc>
          <w:tcPr>
            <w:tcW w:w="1140" w:type="dxa"/>
            <w:tcBorders>
              <w:top w:val="nil"/>
              <w:left w:val="nil"/>
              <w:bottom w:val="single" w:sz="4" w:space="0" w:color="auto"/>
              <w:right w:val="single" w:sz="4" w:space="0" w:color="auto"/>
            </w:tcBorders>
            <w:shd w:val="clear" w:color="auto" w:fill="auto"/>
            <w:noWrap/>
            <w:vAlign w:val="center"/>
            <w:hideMark/>
          </w:tcPr>
          <w:p w14:paraId="4F01D574"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5.23</w:t>
            </w:r>
          </w:p>
        </w:tc>
      </w:tr>
      <w:tr w:rsidR="00556929" w:rsidRPr="00556929" w14:paraId="593811A2" w14:textId="77777777" w:rsidTr="00556929">
        <w:trPr>
          <w:trHeight w:val="580"/>
          <w:jc w:val="center"/>
        </w:trPr>
        <w:tc>
          <w:tcPr>
            <w:tcW w:w="2480" w:type="dxa"/>
            <w:tcBorders>
              <w:top w:val="nil"/>
              <w:left w:val="single" w:sz="4" w:space="0" w:color="auto"/>
              <w:bottom w:val="single" w:sz="4" w:space="0" w:color="auto"/>
              <w:right w:val="single" w:sz="4" w:space="0" w:color="auto"/>
            </w:tcBorders>
            <w:shd w:val="clear" w:color="auto" w:fill="auto"/>
            <w:vAlign w:val="center"/>
            <w:hideMark/>
          </w:tcPr>
          <w:p w14:paraId="401415AF"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6.2.1.1 UE maximum output power (TRP)</w:t>
            </w:r>
          </w:p>
        </w:tc>
        <w:tc>
          <w:tcPr>
            <w:tcW w:w="1465" w:type="dxa"/>
            <w:tcBorders>
              <w:top w:val="nil"/>
              <w:left w:val="nil"/>
              <w:bottom w:val="single" w:sz="4" w:space="0" w:color="auto"/>
              <w:right w:val="single" w:sz="4" w:space="0" w:color="auto"/>
            </w:tcBorders>
            <w:shd w:val="clear" w:color="auto" w:fill="auto"/>
            <w:noWrap/>
            <w:vAlign w:val="center"/>
            <w:hideMark/>
          </w:tcPr>
          <w:p w14:paraId="5D90A893"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4.42</w:t>
            </w:r>
          </w:p>
        </w:tc>
        <w:tc>
          <w:tcPr>
            <w:tcW w:w="1495" w:type="dxa"/>
            <w:tcBorders>
              <w:top w:val="nil"/>
              <w:left w:val="nil"/>
              <w:bottom w:val="single" w:sz="4" w:space="0" w:color="auto"/>
              <w:right w:val="single" w:sz="4" w:space="0" w:color="auto"/>
            </w:tcBorders>
            <w:shd w:val="clear" w:color="auto" w:fill="auto"/>
            <w:noWrap/>
            <w:vAlign w:val="center"/>
            <w:hideMark/>
          </w:tcPr>
          <w:p w14:paraId="119FEC9E"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4.62</w:t>
            </w:r>
          </w:p>
        </w:tc>
        <w:tc>
          <w:tcPr>
            <w:tcW w:w="1140" w:type="dxa"/>
            <w:tcBorders>
              <w:top w:val="nil"/>
              <w:left w:val="nil"/>
              <w:bottom w:val="single" w:sz="4" w:space="0" w:color="auto"/>
              <w:right w:val="single" w:sz="4" w:space="0" w:color="auto"/>
            </w:tcBorders>
            <w:shd w:val="clear" w:color="auto" w:fill="auto"/>
            <w:noWrap/>
            <w:vAlign w:val="center"/>
            <w:hideMark/>
          </w:tcPr>
          <w:p w14:paraId="3F451B60"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4.76</w:t>
            </w:r>
          </w:p>
        </w:tc>
      </w:tr>
      <w:tr w:rsidR="00556929" w:rsidRPr="00556929" w14:paraId="63C9D708" w14:textId="77777777" w:rsidTr="00556929">
        <w:trPr>
          <w:trHeight w:val="870"/>
          <w:jc w:val="center"/>
        </w:trPr>
        <w:tc>
          <w:tcPr>
            <w:tcW w:w="2480" w:type="dxa"/>
            <w:tcBorders>
              <w:top w:val="nil"/>
              <w:left w:val="single" w:sz="4" w:space="0" w:color="auto"/>
              <w:bottom w:val="single" w:sz="4" w:space="0" w:color="auto"/>
              <w:right w:val="single" w:sz="4" w:space="0" w:color="auto"/>
            </w:tcBorders>
            <w:shd w:val="clear" w:color="auto" w:fill="auto"/>
            <w:vAlign w:val="center"/>
            <w:hideMark/>
          </w:tcPr>
          <w:p w14:paraId="570952EF"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6.2.1.2 UE maximum output power (Spherical coverage)</w:t>
            </w:r>
          </w:p>
        </w:tc>
        <w:tc>
          <w:tcPr>
            <w:tcW w:w="1465" w:type="dxa"/>
            <w:tcBorders>
              <w:top w:val="nil"/>
              <w:left w:val="nil"/>
              <w:bottom w:val="single" w:sz="4" w:space="0" w:color="auto"/>
              <w:right w:val="single" w:sz="4" w:space="0" w:color="auto"/>
            </w:tcBorders>
            <w:shd w:val="clear" w:color="auto" w:fill="auto"/>
            <w:noWrap/>
            <w:vAlign w:val="center"/>
            <w:hideMark/>
          </w:tcPr>
          <w:p w14:paraId="1BBF87EC"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4.6</w:t>
            </w:r>
          </w:p>
        </w:tc>
        <w:tc>
          <w:tcPr>
            <w:tcW w:w="1495" w:type="dxa"/>
            <w:tcBorders>
              <w:top w:val="nil"/>
              <w:left w:val="nil"/>
              <w:bottom w:val="single" w:sz="4" w:space="0" w:color="auto"/>
              <w:right w:val="single" w:sz="4" w:space="0" w:color="auto"/>
            </w:tcBorders>
            <w:shd w:val="clear" w:color="auto" w:fill="auto"/>
            <w:noWrap/>
            <w:vAlign w:val="center"/>
            <w:hideMark/>
          </w:tcPr>
          <w:p w14:paraId="1DCE2E32"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5.2</w:t>
            </w:r>
          </w:p>
        </w:tc>
        <w:tc>
          <w:tcPr>
            <w:tcW w:w="1140" w:type="dxa"/>
            <w:tcBorders>
              <w:top w:val="nil"/>
              <w:left w:val="nil"/>
              <w:bottom w:val="single" w:sz="4" w:space="0" w:color="auto"/>
              <w:right w:val="single" w:sz="4" w:space="0" w:color="auto"/>
            </w:tcBorders>
            <w:shd w:val="clear" w:color="auto" w:fill="auto"/>
            <w:noWrap/>
            <w:vAlign w:val="center"/>
            <w:hideMark/>
          </w:tcPr>
          <w:p w14:paraId="09CEF641"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5.62</w:t>
            </w:r>
          </w:p>
        </w:tc>
      </w:tr>
      <w:tr w:rsidR="00556929" w:rsidRPr="00556929" w14:paraId="063F4562" w14:textId="77777777" w:rsidTr="00556929">
        <w:trPr>
          <w:trHeight w:val="580"/>
          <w:jc w:val="center"/>
        </w:trPr>
        <w:tc>
          <w:tcPr>
            <w:tcW w:w="2480" w:type="dxa"/>
            <w:tcBorders>
              <w:top w:val="nil"/>
              <w:left w:val="single" w:sz="4" w:space="0" w:color="auto"/>
              <w:bottom w:val="single" w:sz="4" w:space="0" w:color="auto"/>
              <w:right w:val="single" w:sz="4" w:space="0" w:color="auto"/>
            </w:tcBorders>
            <w:shd w:val="clear" w:color="auto" w:fill="auto"/>
            <w:vAlign w:val="center"/>
            <w:hideMark/>
          </w:tcPr>
          <w:p w14:paraId="514B2951" w14:textId="77777777" w:rsidR="00556929" w:rsidRPr="00556929" w:rsidRDefault="00556929" w:rsidP="00556929">
            <w:pPr>
              <w:spacing w:after="0"/>
              <w:jc w:val="center"/>
              <w:rPr>
                <w:rFonts w:ascii="Calibri" w:eastAsia="Times New Roman" w:hAnsi="Calibri" w:cs="Calibri"/>
                <w:b/>
                <w:bCs/>
                <w:color w:val="000000"/>
                <w:sz w:val="22"/>
                <w:szCs w:val="22"/>
                <w:lang w:val="en-US"/>
              </w:rPr>
            </w:pPr>
            <w:r w:rsidRPr="00556929">
              <w:rPr>
                <w:rFonts w:ascii="Calibri" w:eastAsia="Times New Roman" w:hAnsi="Calibri" w:cs="Calibri"/>
                <w:b/>
                <w:bCs/>
                <w:color w:val="000000"/>
                <w:sz w:val="22"/>
                <w:szCs w:val="22"/>
                <w:lang w:val="en-US"/>
              </w:rPr>
              <w:t>6.5.2.1 Spectrum Emission Mask</w:t>
            </w:r>
          </w:p>
        </w:tc>
        <w:tc>
          <w:tcPr>
            <w:tcW w:w="1465" w:type="dxa"/>
            <w:tcBorders>
              <w:top w:val="nil"/>
              <w:left w:val="nil"/>
              <w:bottom w:val="single" w:sz="4" w:space="0" w:color="auto"/>
              <w:right w:val="single" w:sz="4" w:space="0" w:color="auto"/>
            </w:tcBorders>
            <w:shd w:val="clear" w:color="auto" w:fill="auto"/>
            <w:noWrap/>
            <w:vAlign w:val="center"/>
            <w:hideMark/>
          </w:tcPr>
          <w:p w14:paraId="4B7CF958"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4.94</w:t>
            </w:r>
          </w:p>
        </w:tc>
        <w:tc>
          <w:tcPr>
            <w:tcW w:w="1495" w:type="dxa"/>
            <w:tcBorders>
              <w:top w:val="nil"/>
              <w:left w:val="nil"/>
              <w:bottom w:val="single" w:sz="4" w:space="0" w:color="auto"/>
              <w:right w:val="single" w:sz="4" w:space="0" w:color="auto"/>
            </w:tcBorders>
            <w:shd w:val="clear" w:color="auto" w:fill="auto"/>
            <w:noWrap/>
            <w:vAlign w:val="center"/>
            <w:hideMark/>
          </w:tcPr>
          <w:p w14:paraId="1476748C"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5.32</w:t>
            </w:r>
          </w:p>
        </w:tc>
        <w:tc>
          <w:tcPr>
            <w:tcW w:w="1140" w:type="dxa"/>
            <w:tcBorders>
              <w:top w:val="nil"/>
              <w:left w:val="nil"/>
              <w:bottom w:val="single" w:sz="4" w:space="0" w:color="auto"/>
              <w:right w:val="single" w:sz="4" w:space="0" w:color="auto"/>
            </w:tcBorders>
            <w:shd w:val="clear" w:color="auto" w:fill="auto"/>
            <w:noWrap/>
            <w:vAlign w:val="center"/>
            <w:hideMark/>
          </w:tcPr>
          <w:p w14:paraId="1F61CE97" w14:textId="77777777" w:rsidR="00556929" w:rsidRPr="00556929" w:rsidRDefault="00556929" w:rsidP="00556929">
            <w:pPr>
              <w:spacing w:after="0"/>
              <w:jc w:val="center"/>
              <w:rPr>
                <w:rFonts w:ascii="Calibri" w:eastAsia="Times New Roman" w:hAnsi="Calibri" w:cs="Calibri"/>
                <w:color w:val="000000"/>
                <w:sz w:val="22"/>
                <w:szCs w:val="22"/>
                <w:lang w:val="en-US"/>
              </w:rPr>
            </w:pPr>
            <w:r w:rsidRPr="00556929">
              <w:rPr>
                <w:rFonts w:ascii="Calibri" w:eastAsia="Times New Roman" w:hAnsi="Calibri" w:cs="Calibri"/>
                <w:color w:val="000000"/>
                <w:sz w:val="22"/>
                <w:szCs w:val="22"/>
                <w:lang w:val="en-US"/>
              </w:rPr>
              <w:t>5.59</w:t>
            </w:r>
          </w:p>
        </w:tc>
      </w:tr>
    </w:tbl>
    <w:p w14:paraId="15336389" w14:textId="4575F524" w:rsidR="00556929" w:rsidRDefault="00556929" w:rsidP="00556929">
      <w:r>
        <w:t xml:space="preserve">The RX test cases with MUs completed, i.e., Reference sensitivity power level and EIS spherical coverage, do not differ in MU </w:t>
      </w:r>
      <w:r w:rsidR="000B1E15">
        <w:t xml:space="preserve">between FR2a and FR2b </w:t>
      </w:r>
      <w:r>
        <w:t xml:space="preserve">and the extrapolation approach applied to the TX test cases would therefore yield the same MU value for FR2c as FR2a and FR2b. </w:t>
      </w:r>
      <w:r w:rsidR="000B1E15">
        <w:t>In order to allow for some margin, i</w:t>
      </w:r>
      <w:r>
        <w:t>t is therefore proposed t</w:t>
      </w:r>
      <w:r w:rsidR="00C41AB7">
        <w:t>o estimate the FR2</w:t>
      </w:r>
      <w:r w:rsidR="000B1E15">
        <w:t>c</w:t>
      </w:r>
      <w:r w:rsidR="00C41AB7">
        <w:t xml:space="preserve"> MU of these two test cases by applying the maximum difference in MU</w:t>
      </w:r>
      <w:r w:rsidR="000B1E15">
        <w:t xml:space="preserve"> between FR2b and FR2c</w:t>
      </w:r>
      <w:r w:rsidR="00C41AB7">
        <w:t xml:space="preserve"> observed for the TX test cases, i.e., 0.42dB, to the </w:t>
      </w:r>
      <w:r w:rsidR="000B1E15">
        <w:t xml:space="preserve">FR2c </w:t>
      </w:r>
      <w:r w:rsidR="00C41AB7">
        <w:t xml:space="preserve">MU of the RX test cases. The FR2c MU estimate for these two test cases based on the proposed approach are tabulated in </w:t>
      </w:r>
      <w:r w:rsidR="00C41AB7">
        <w:fldChar w:fldCharType="begin"/>
      </w:r>
      <w:r w:rsidR="00C41AB7">
        <w:instrText xml:space="preserve"> REF _Ref31192080 \h </w:instrText>
      </w:r>
      <w:r w:rsidR="00C41AB7">
        <w:fldChar w:fldCharType="separate"/>
      </w:r>
      <w:r w:rsidR="00C41AB7">
        <w:t xml:space="preserve">Table </w:t>
      </w:r>
      <w:r w:rsidR="00C41AB7">
        <w:rPr>
          <w:noProof/>
        </w:rPr>
        <w:t>2</w:t>
      </w:r>
      <w:r w:rsidR="00C41AB7">
        <w:fldChar w:fldCharType="end"/>
      </w:r>
    </w:p>
    <w:p w14:paraId="0E60C49E" w14:textId="77777777" w:rsidR="000B1E15" w:rsidRDefault="000B1E15">
      <w:pPr>
        <w:spacing w:after="0"/>
        <w:rPr>
          <w:b/>
        </w:rPr>
      </w:pPr>
      <w:bookmarkStart w:id="8" w:name="_Ref31192080"/>
      <w:r>
        <w:br w:type="page"/>
      </w:r>
    </w:p>
    <w:p w14:paraId="411BB6CD" w14:textId="24A2DF68" w:rsidR="00C41AB7" w:rsidRDefault="00C41AB7" w:rsidP="00C41AB7">
      <w:pPr>
        <w:pStyle w:val="Caption"/>
        <w:jc w:val="center"/>
      </w:pPr>
      <w:r>
        <w:lastRenderedPageBreak/>
        <w:t xml:space="preserve">Table </w:t>
      </w:r>
      <w:r>
        <w:fldChar w:fldCharType="begin"/>
      </w:r>
      <w:r>
        <w:instrText xml:space="preserve"> SEQ Table \* ARABIC </w:instrText>
      </w:r>
      <w:r>
        <w:fldChar w:fldCharType="separate"/>
      </w:r>
      <w:r>
        <w:rPr>
          <w:noProof/>
        </w:rPr>
        <w:t>2</w:t>
      </w:r>
      <w:r>
        <w:fldChar w:fldCharType="end"/>
      </w:r>
      <w:bookmarkEnd w:id="8"/>
      <w:r>
        <w:t>: Estimated FR2c MUs for completed RX test cases</w:t>
      </w:r>
    </w:p>
    <w:tbl>
      <w:tblPr>
        <w:tblW w:w="6580" w:type="dxa"/>
        <w:jc w:val="center"/>
        <w:tblLook w:val="04A0" w:firstRow="1" w:lastRow="0" w:firstColumn="1" w:lastColumn="0" w:noHBand="0" w:noVBand="1"/>
      </w:tblPr>
      <w:tblGrid>
        <w:gridCol w:w="2480"/>
        <w:gridCol w:w="1465"/>
        <w:gridCol w:w="1495"/>
        <w:gridCol w:w="1140"/>
      </w:tblGrid>
      <w:tr w:rsidR="00C41AB7" w:rsidRPr="00C41AB7" w14:paraId="1A9F3A6D" w14:textId="77777777" w:rsidTr="00C41AB7">
        <w:trPr>
          <w:trHeight w:val="290"/>
          <w:jc w:val="center"/>
        </w:trPr>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04912"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Test Case</w:t>
            </w:r>
          </w:p>
        </w:tc>
        <w:tc>
          <w:tcPr>
            <w:tcW w:w="29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03559"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 xml:space="preserve">MU (from 38.903) = </w:t>
            </w:r>
            <w:r w:rsidRPr="00C41AB7">
              <w:rPr>
                <w:rFonts w:ascii="Calibri" w:eastAsia="Times New Roman" w:hAnsi="Calibri" w:cs="Calibri"/>
                <w:b/>
                <w:bCs/>
                <w:color w:val="000000"/>
                <w:sz w:val="22"/>
                <w:szCs w:val="22"/>
                <w:lang w:val="en-US"/>
              </w:rPr>
              <w:br/>
              <w:t>MTSU (from 38.521-2)</w:t>
            </w:r>
            <w:r w:rsidRPr="00C41AB7">
              <w:rPr>
                <w:rFonts w:ascii="Calibri" w:eastAsia="Times New Roman" w:hAnsi="Calibri" w:cs="Calibri"/>
                <w:b/>
                <w:bCs/>
                <w:color w:val="000000"/>
                <w:sz w:val="22"/>
                <w:szCs w:val="22"/>
                <w:lang w:val="en-US"/>
              </w:rPr>
              <w:br/>
              <w:t>[dB]</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8B49E9"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FR2c MU Estimate</w:t>
            </w:r>
            <w:r w:rsidRPr="00C41AB7">
              <w:rPr>
                <w:rFonts w:ascii="Calibri" w:eastAsia="Times New Roman" w:hAnsi="Calibri" w:cs="Calibri"/>
                <w:b/>
                <w:bCs/>
                <w:color w:val="000000"/>
                <w:sz w:val="22"/>
                <w:szCs w:val="22"/>
                <w:lang w:val="en-US"/>
              </w:rPr>
              <w:br/>
              <w:t>[dB]</w:t>
            </w:r>
          </w:p>
        </w:tc>
      </w:tr>
      <w:tr w:rsidR="00C41AB7" w:rsidRPr="00C41AB7" w14:paraId="4C2717C4" w14:textId="77777777" w:rsidTr="00C41AB7">
        <w:trPr>
          <w:trHeight w:val="870"/>
          <w:jc w:val="center"/>
        </w:trPr>
        <w:tc>
          <w:tcPr>
            <w:tcW w:w="2480" w:type="dxa"/>
            <w:vMerge/>
            <w:tcBorders>
              <w:top w:val="single" w:sz="4" w:space="0" w:color="auto"/>
              <w:left w:val="single" w:sz="4" w:space="0" w:color="auto"/>
              <w:bottom w:val="single" w:sz="4" w:space="0" w:color="auto"/>
              <w:right w:val="single" w:sz="4" w:space="0" w:color="auto"/>
            </w:tcBorders>
            <w:vAlign w:val="center"/>
            <w:hideMark/>
          </w:tcPr>
          <w:p w14:paraId="699125B6" w14:textId="77777777" w:rsidR="00C41AB7" w:rsidRPr="00C41AB7" w:rsidRDefault="00C41AB7" w:rsidP="00C41AB7">
            <w:pPr>
              <w:spacing w:after="0"/>
              <w:rPr>
                <w:rFonts w:ascii="Calibri" w:eastAsia="Times New Roman" w:hAnsi="Calibri" w:cs="Calibri"/>
                <w:b/>
                <w:bCs/>
                <w:color w:val="000000"/>
                <w:sz w:val="22"/>
                <w:szCs w:val="22"/>
                <w:lang w:val="en-US"/>
              </w:rPr>
            </w:pPr>
          </w:p>
        </w:tc>
        <w:tc>
          <w:tcPr>
            <w:tcW w:w="2960" w:type="dxa"/>
            <w:gridSpan w:val="2"/>
            <w:vMerge/>
            <w:tcBorders>
              <w:top w:val="single" w:sz="4" w:space="0" w:color="auto"/>
              <w:left w:val="single" w:sz="4" w:space="0" w:color="auto"/>
              <w:bottom w:val="single" w:sz="4" w:space="0" w:color="auto"/>
              <w:right w:val="single" w:sz="4" w:space="0" w:color="auto"/>
            </w:tcBorders>
            <w:vAlign w:val="center"/>
            <w:hideMark/>
          </w:tcPr>
          <w:p w14:paraId="0060A737" w14:textId="77777777" w:rsidR="00C41AB7" w:rsidRPr="00C41AB7" w:rsidRDefault="00C41AB7" w:rsidP="00C41AB7">
            <w:pPr>
              <w:spacing w:after="0"/>
              <w:rPr>
                <w:rFonts w:ascii="Calibri" w:eastAsia="Times New Roman" w:hAnsi="Calibri" w:cs="Calibri"/>
                <w:b/>
                <w:bCs/>
                <w:color w:val="000000"/>
                <w:sz w:val="22"/>
                <w:szCs w:val="22"/>
                <w:lang w:val="en-US"/>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14:paraId="16FB9245" w14:textId="77777777" w:rsidR="00C41AB7" w:rsidRPr="00C41AB7" w:rsidRDefault="00C41AB7" w:rsidP="00C41AB7">
            <w:pPr>
              <w:spacing w:after="0"/>
              <w:rPr>
                <w:rFonts w:ascii="Calibri" w:eastAsia="Times New Roman" w:hAnsi="Calibri" w:cs="Calibri"/>
                <w:b/>
                <w:bCs/>
                <w:color w:val="000000"/>
                <w:sz w:val="22"/>
                <w:szCs w:val="22"/>
                <w:lang w:val="en-US"/>
              </w:rPr>
            </w:pPr>
          </w:p>
        </w:tc>
      </w:tr>
      <w:tr w:rsidR="00C41AB7" w:rsidRPr="00C41AB7" w14:paraId="5313AFCB" w14:textId="77777777" w:rsidTr="00C41AB7">
        <w:trPr>
          <w:trHeight w:val="290"/>
          <w:jc w:val="center"/>
        </w:trPr>
        <w:tc>
          <w:tcPr>
            <w:tcW w:w="2480" w:type="dxa"/>
            <w:vMerge/>
            <w:tcBorders>
              <w:top w:val="single" w:sz="4" w:space="0" w:color="auto"/>
              <w:left w:val="single" w:sz="4" w:space="0" w:color="auto"/>
              <w:bottom w:val="single" w:sz="4" w:space="0" w:color="auto"/>
              <w:right w:val="single" w:sz="4" w:space="0" w:color="auto"/>
            </w:tcBorders>
            <w:vAlign w:val="center"/>
            <w:hideMark/>
          </w:tcPr>
          <w:p w14:paraId="12C792FA" w14:textId="77777777" w:rsidR="00C41AB7" w:rsidRPr="00C41AB7" w:rsidRDefault="00C41AB7" w:rsidP="00C41AB7">
            <w:pPr>
              <w:spacing w:after="0"/>
              <w:rPr>
                <w:rFonts w:ascii="Calibri" w:eastAsia="Times New Roman" w:hAnsi="Calibri" w:cs="Calibri"/>
                <w:b/>
                <w:bCs/>
                <w:color w:val="000000"/>
                <w:sz w:val="22"/>
                <w:szCs w:val="22"/>
                <w:lang w:val="en-US"/>
              </w:rPr>
            </w:pPr>
          </w:p>
        </w:tc>
        <w:tc>
          <w:tcPr>
            <w:tcW w:w="1465" w:type="dxa"/>
            <w:tcBorders>
              <w:top w:val="nil"/>
              <w:left w:val="nil"/>
              <w:bottom w:val="single" w:sz="4" w:space="0" w:color="auto"/>
              <w:right w:val="single" w:sz="4" w:space="0" w:color="auto"/>
            </w:tcBorders>
            <w:shd w:val="clear" w:color="auto" w:fill="auto"/>
            <w:noWrap/>
            <w:vAlign w:val="center"/>
            <w:hideMark/>
          </w:tcPr>
          <w:p w14:paraId="0D5E4588"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FR2a</w:t>
            </w:r>
          </w:p>
        </w:tc>
        <w:tc>
          <w:tcPr>
            <w:tcW w:w="1495" w:type="dxa"/>
            <w:tcBorders>
              <w:top w:val="nil"/>
              <w:left w:val="nil"/>
              <w:bottom w:val="single" w:sz="4" w:space="0" w:color="auto"/>
              <w:right w:val="single" w:sz="4" w:space="0" w:color="auto"/>
            </w:tcBorders>
            <w:shd w:val="clear" w:color="auto" w:fill="auto"/>
            <w:noWrap/>
            <w:vAlign w:val="center"/>
            <w:hideMark/>
          </w:tcPr>
          <w:p w14:paraId="749E3B89"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FR2b</w:t>
            </w:r>
          </w:p>
        </w:tc>
        <w:tc>
          <w:tcPr>
            <w:tcW w:w="1140" w:type="dxa"/>
            <w:tcBorders>
              <w:top w:val="nil"/>
              <w:left w:val="nil"/>
              <w:bottom w:val="single" w:sz="4" w:space="0" w:color="auto"/>
              <w:right w:val="single" w:sz="4" w:space="0" w:color="auto"/>
            </w:tcBorders>
            <w:shd w:val="clear" w:color="auto" w:fill="auto"/>
            <w:noWrap/>
            <w:vAlign w:val="center"/>
            <w:hideMark/>
          </w:tcPr>
          <w:p w14:paraId="755EDB65"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FR2c</w:t>
            </w:r>
          </w:p>
        </w:tc>
      </w:tr>
      <w:tr w:rsidR="00C41AB7" w:rsidRPr="00C41AB7" w14:paraId="675357FF" w14:textId="77777777" w:rsidTr="00C41AB7">
        <w:trPr>
          <w:trHeight w:val="580"/>
          <w:jc w:val="center"/>
        </w:trPr>
        <w:tc>
          <w:tcPr>
            <w:tcW w:w="2480" w:type="dxa"/>
            <w:tcBorders>
              <w:top w:val="nil"/>
              <w:left w:val="single" w:sz="4" w:space="0" w:color="auto"/>
              <w:bottom w:val="single" w:sz="4" w:space="0" w:color="auto"/>
              <w:right w:val="single" w:sz="4" w:space="0" w:color="auto"/>
            </w:tcBorders>
            <w:shd w:val="clear" w:color="auto" w:fill="auto"/>
            <w:vAlign w:val="center"/>
            <w:hideMark/>
          </w:tcPr>
          <w:p w14:paraId="354BF38F"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7.3.2 Reference sensitivity power level</w:t>
            </w:r>
          </w:p>
        </w:tc>
        <w:tc>
          <w:tcPr>
            <w:tcW w:w="1465" w:type="dxa"/>
            <w:tcBorders>
              <w:top w:val="nil"/>
              <w:left w:val="nil"/>
              <w:bottom w:val="single" w:sz="4" w:space="0" w:color="auto"/>
              <w:right w:val="single" w:sz="4" w:space="0" w:color="auto"/>
            </w:tcBorders>
            <w:shd w:val="clear" w:color="auto" w:fill="auto"/>
            <w:noWrap/>
            <w:vAlign w:val="center"/>
            <w:hideMark/>
          </w:tcPr>
          <w:p w14:paraId="3DCB959B" w14:textId="77777777" w:rsidR="00C41AB7" w:rsidRPr="00C41AB7" w:rsidRDefault="00C41AB7" w:rsidP="00C41AB7">
            <w:pPr>
              <w:spacing w:after="0"/>
              <w:jc w:val="center"/>
              <w:rPr>
                <w:rFonts w:ascii="Calibri" w:eastAsia="Times New Roman" w:hAnsi="Calibri" w:cs="Calibri"/>
                <w:color w:val="000000"/>
                <w:sz w:val="22"/>
                <w:szCs w:val="22"/>
                <w:lang w:val="en-US"/>
              </w:rPr>
            </w:pPr>
            <w:r w:rsidRPr="00C41AB7">
              <w:rPr>
                <w:rFonts w:ascii="Calibri" w:eastAsia="Times New Roman" w:hAnsi="Calibri" w:cs="Calibri"/>
                <w:color w:val="000000"/>
                <w:sz w:val="22"/>
                <w:szCs w:val="22"/>
                <w:lang w:val="en-US"/>
              </w:rPr>
              <w:t>5.19</w:t>
            </w:r>
          </w:p>
        </w:tc>
        <w:tc>
          <w:tcPr>
            <w:tcW w:w="1495" w:type="dxa"/>
            <w:tcBorders>
              <w:top w:val="nil"/>
              <w:left w:val="nil"/>
              <w:bottom w:val="single" w:sz="4" w:space="0" w:color="auto"/>
              <w:right w:val="single" w:sz="4" w:space="0" w:color="auto"/>
            </w:tcBorders>
            <w:shd w:val="clear" w:color="auto" w:fill="auto"/>
            <w:noWrap/>
            <w:vAlign w:val="center"/>
            <w:hideMark/>
          </w:tcPr>
          <w:p w14:paraId="46374149" w14:textId="77777777" w:rsidR="00C41AB7" w:rsidRPr="00C41AB7" w:rsidRDefault="00C41AB7" w:rsidP="00C41AB7">
            <w:pPr>
              <w:spacing w:after="0"/>
              <w:jc w:val="center"/>
              <w:rPr>
                <w:rFonts w:ascii="Calibri" w:eastAsia="Times New Roman" w:hAnsi="Calibri" w:cs="Calibri"/>
                <w:color w:val="000000"/>
                <w:sz w:val="22"/>
                <w:szCs w:val="22"/>
                <w:lang w:val="en-US"/>
              </w:rPr>
            </w:pPr>
            <w:r w:rsidRPr="00C41AB7">
              <w:rPr>
                <w:rFonts w:ascii="Calibri" w:eastAsia="Times New Roman" w:hAnsi="Calibri" w:cs="Calibri"/>
                <w:color w:val="000000"/>
                <w:sz w:val="22"/>
                <w:szCs w:val="22"/>
                <w:lang w:val="en-US"/>
              </w:rPr>
              <w:t>5.19</w:t>
            </w:r>
          </w:p>
        </w:tc>
        <w:tc>
          <w:tcPr>
            <w:tcW w:w="1140" w:type="dxa"/>
            <w:tcBorders>
              <w:top w:val="nil"/>
              <w:left w:val="nil"/>
              <w:bottom w:val="single" w:sz="4" w:space="0" w:color="auto"/>
              <w:right w:val="single" w:sz="4" w:space="0" w:color="auto"/>
            </w:tcBorders>
            <w:shd w:val="clear" w:color="auto" w:fill="auto"/>
            <w:noWrap/>
            <w:vAlign w:val="center"/>
            <w:hideMark/>
          </w:tcPr>
          <w:p w14:paraId="50D06F86" w14:textId="77777777" w:rsidR="00C41AB7" w:rsidRPr="00C41AB7" w:rsidRDefault="00C41AB7" w:rsidP="00C41AB7">
            <w:pPr>
              <w:spacing w:after="0"/>
              <w:jc w:val="center"/>
              <w:rPr>
                <w:rFonts w:ascii="Calibri" w:eastAsia="Times New Roman" w:hAnsi="Calibri" w:cs="Calibri"/>
                <w:color w:val="000000"/>
                <w:sz w:val="22"/>
                <w:szCs w:val="22"/>
                <w:lang w:val="en-US"/>
              </w:rPr>
            </w:pPr>
            <w:r w:rsidRPr="00C41AB7">
              <w:rPr>
                <w:rFonts w:ascii="Calibri" w:eastAsia="Times New Roman" w:hAnsi="Calibri" w:cs="Calibri"/>
                <w:color w:val="000000"/>
                <w:sz w:val="22"/>
                <w:szCs w:val="22"/>
                <w:lang w:val="en-US"/>
              </w:rPr>
              <w:t>5.61</w:t>
            </w:r>
          </w:p>
        </w:tc>
      </w:tr>
      <w:tr w:rsidR="00C41AB7" w:rsidRPr="00C41AB7" w14:paraId="4EC9B111" w14:textId="77777777" w:rsidTr="00C41AB7">
        <w:trPr>
          <w:trHeight w:val="580"/>
          <w:jc w:val="center"/>
        </w:trPr>
        <w:tc>
          <w:tcPr>
            <w:tcW w:w="2480" w:type="dxa"/>
            <w:tcBorders>
              <w:top w:val="nil"/>
              <w:left w:val="single" w:sz="4" w:space="0" w:color="auto"/>
              <w:bottom w:val="single" w:sz="4" w:space="0" w:color="auto"/>
              <w:right w:val="single" w:sz="4" w:space="0" w:color="auto"/>
            </w:tcBorders>
            <w:shd w:val="clear" w:color="auto" w:fill="auto"/>
            <w:vAlign w:val="center"/>
            <w:hideMark/>
          </w:tcPr>
          <w:p w14:paraId="0363B632" w14:textId="77777777" w:rsidR="00C41AB7" w:rsidRPr="00C41AB7" w:rsidRDefault="00C41AB7" w:rsidP="00C41AB7">
            <w:pPr>
              <w:spacing w:after="0"/>
              <w:jc w:val="center"/>
              <w:rPr>
                <w:rFonts w:ascii="Calibri" w:eastAsia="Times New Roman" w:hAnsi="Calibri" w:cs="Calibri"/>
                <w:b/>
                <w:bCs/>
                <w:color w:val="000000"/>
                <w:sz w:val="22"/>
                <w:szCs w:val="22"/>
                <w:lang w:val="en-US"/>
              </w:rPr>
            </w:pPr>
            <w:r w:rsidRPr="00C41AB7">
              <w:rPr>
                <w:rFonts w:ascii="Calibri" w:eastAsia="Times New Roman" w:hAnsi="Calibri" w:cs="Calibri"/>
                <w:b/>
                <w:bCs/>
                <w:color w:val="000000"/>
                <w:sz w:val="22"/>
                <w:szCs w:val="22"/>
                <w:lang w:val="en-US"/>
              </w:rPr>
              <w:t>7.3.4 EIS spherical coverage</w:t>
            </w:r>
          </w:p>
        </w:tc>
        <w:tc>
          <w:tcPr>
            <w:tcW w:w="1465" w:type="dxa"/>
            <w:tcBorders>
              <w:top w:val="nil"/>
              <w:left w:val="nil"/>
              <w:bottom w:val="single" w:sz="4" w:space="0" w:color="auto"/>
              <w:right w:val="single" w:sz="4" w:space="0" w:color="auto"/>
            </w:tcBorders>
            <w:shd w:val="clear" w:color="auto" w:fill="auto"/>
            <w:noWrap/>
            <w:vAlign w:val="center"/>
            <w:hideMark/>
          </w:tcPr>
          <w:p w14:paraId="23514680" w14:textId="77777777" w:rsidR="00C41AB7" w:rsidRPr="00C41AB7" w:rsidRDefault="00C41AB7" w:rsidP="00C41AB7">
            <w:pPr>
              <w:spacing w:after="0"/>
              <w:jc w:val="center"/>
              <w:rPr>
                <w:rFonts w:ascii="Calibri" w:eastAsia="Times New Roman" w:hAnsi="Calibri" w:cs="Calibri"/>
                <w:color w:val="000000"/>
                <w:sz w:val="22"/>
                <w:szCs w:val="22"/>
                <w:lang w:val="en-US"/>
              </w:rPr>
            </w:pPr>
            <w:r w:rsidRPr="00C41AB7">
              <w:rPr>
                <w:rFonts w:ascii="Calibri" w:eastAsia="Times New Roman" w:hAnsi="Calibri" w:cs="Calibri"/>
                <w:color w:val="000000"/>
                <w:sz w:val="22"/>
                <w:szCs w:val="22"/>
                <w:lang w:val="en-US"/>
              </w:rPr>
              <w:t>4.9</w:t>
            </w:r>
          </w:p>
        </w:tc>
        <w:tc>
          <w:tcPr>
            <w:tcW w:w="1495" w:type="dxa"/>
            <w:tcBorders>
              <w:top w:val="nil"/>
              <w:left w:val="nil"/>
              <w:bottom w:val="single" w:sz="4" w:space="0" w:color="auto"/>
              <w:right w:val="single" w:sz="4" w:space="0" w:color="auto"/>
            </w:tcBorders>
            <w:shd w:val="clear" w:color="auto" w:fill="auto"/>
            <w:noWrap/>
            <w:vAlign w:val="center"/>
            <w:hideMark/>
          </w:tcPr>
          <w:p w14:paraId="000A6808" w14:textId="77777777" w:rsidR="00C41AB7" w:rsidRPr="00C41AB7" w:rsidRDefault="00C41AB7" w:rsidP="00C41AB7">
            <w:pPr>
              <w:spacing w:after="0"/>
              <w:jc w:val="center"/>
              <w:rPr>
                <w:rFonts w:ascii="Calibri" w:eastAsia="Times New Roman" w:hAnsi="Calibri" w:cs="Calibri"/>
                <w:color w:val="000000"/>
                <w:sz w:val="22"/>
                <w:szCs w:val="22"/>
                <w:lang w:val="en-US"/>
              </w:rPr>
            </w:pPr>
            <w:r w:rsidRPr="00C41AB7">
              <w:rPr>
                <w:rFonts w:ascii="Calibri" w:eastAsia="Times New Roman" w:hAnsi="Calibri" w:cs="Calibri"/>
                <w:color w:val="000000"/>
                <w:sz w:val="22"/>
                <w:szCs w:val="22"/>
                <w:lang w:val="en-US"/>
              </w:rPr>
              <w:t>4.9</w:t>
            </w:r>
          </w:p>
        </w:tc>
        <w:tc>
          <w:tcPr>
            <w:tcW w:w="1140" w:type="dxa"/>
            <w:tcBorders>
              <w:top w:val="nil"/>
              <w:left w:val="nil"/>
              <w:bottom w:val="single" w:sz="4" w:space="0" w:color="auto"/>
              <w:right w:val="single" w:sz="4" w:space="0" w:color="auto"/>
            </w:tcBorders>
            <w:shd w:val="clear" w:color="auto" w:fill="auto"/>
            <w:noWrap/>
            <w:vAlign w:val="center"/>
            <w:hideMark/>
          </w:tcPr>
          <w:p w14:paraId="2A45B1FB" w14:textId="77777777" w:rsidR="00C41AB7" w:rsidRPr="00C41AB7" w:rsidRDefault="00C41AB7" w:rsidP="00C41AB7">
            <w:pPr>
              <w:spacing w:after="0"/>
              <w:jc w:val="center"/>
              <w:rPr>
                <w:rFonts w:ascii="Calibri" w:eastAsia="Times New Roman" w:hAnsi="Calibri" w:cs="Calibri"/>
                <w:color w:val="000000"/>
                <w:sz w:val="22"/>
                <w:szCs w:val="22"/>
                <w:lang w:val="en-US"/>
              </w:rPr>
            </w:pPr>
            <w:r w:rsidRPr="00C41AB7">
              <w:rPr>
                <w:rFonts w:ascii="Calibri" w:eastAsia="Times New Roman" w:hAnsi="Calibri" w:cs="Calibri"/>
                <w:color w:val="000000"/>
                <w:sz w:val="22"/>
                <w:szCs w:val="22"/>
                <w:lang w:val="en-US"/>
              </w:rPr>
              <w:t>5.32</w:t>
            </w:r>
          </w:p>
        </w:tc>
      </w:tr>
    </w:tbl>
    <w:p w14:paraId="57771474" w14:textId="2C2A815A" w:rsidR="00C41AB7" w:rsidRDefault="00C41AB7" w:rsidP="00556929"/>
    <w:p w14:paraId="75B13302" w14:textId="6EDE0D56" w:rsidR="00554FF2" w:rsidRDefault="00554FF2" w:rsidP="00556929">
      <w:r>
        <w:t xml:space="preserve">It is therefore proposed to adopt the FR2c MU estimates outlined in </w:t>
      </w:r>
      <w:r>
        <w:fldChar w:fldCharType="begin"/>
      </w:r>
      <w:r>
        <w:instrText xml:space="preserve"> REF _Ref31204094 \h </w:instrText>
      </w:r>
      <w:r>
        <w:fldChar w:fldCharType="separate"/>
      </w:r>
      <w:r>
        <w:t xml:space="preserve">Table </w:t>
      </w:r>
      <w:r>
        <w:rPr>
          <w:noProof/>
        </w:rPr>
        <w:t>1</w:t>
      </w:r>
      <w:r>
        <w:fldChar w:fldCharType="end"/>
      </w:r>
      <w:r>
        <w:t xml:space="preserve"> and </w:t>
      </w:r>
      <w:r>
        <w:fldChar w:fldCharType="begin"/>
      </w:r>
      <w:r>
        <w:instrText xml:space="preserve"> REF _Ref31192080 \h </w:instrText>
      </w:r>
      <w:r>
        <w:fldChar w:fldCharType="separate"/>
      </w:r>
      <w:r>
        <w:t xml:space="preserve">Table </w:t>
      </w:r>
      <w:r>
        <w:rPr>
          <w:noProof/>
        </w:rPr>
        <w:t>2</w:t>
      </w:r>
      <w:r>
        <w:fldChar w:fldCharType="end"/>
      </w:r>
      <w:r>
        <w:t xml:space="preserve"> as preliminary, non-binding MU values </w:t>
      </w:r>
      <w:r w:rsidR="000B1E15">
        <w:t xml:space="preserve">for </w:t>
      </w:r>
      <w:r w:rsidRPr="0070080D">
        <w:t>TT calculation</w:t>
      </w:r>
      <w:r>
        <w:t>.</w:t>
      </w:r>
    </w:p>
    <w:p w14:paraId="331B3204" w14:textId="4556FD94" w:rsidR="00554FF2" w:rsidRPr="009A282A" w:rsidRDefault="00554FF2" w:rsidP="00554FF2">
      <w:pPr>
        <w:pStyle w:val="Caption"/>
      </w:pPr>
      <w:bookmarkStart w:id="9" w:name="_Ref31204226"/>
      <w:r>
        <w:t xml:space="preserve">Proposal </w:t>
      </w:r>
      <w:r>
        <w:fldChar w:fldCharType="begin"/>
      </w:r>
      <w:r>
        <w:instrText xml:space="preserve"> SEQ Proposal \* ARABIC </w:instrText>
      </w:r>
      <w:r>
        <w:fldChar w:fldCharType="separate"/>
      </w:r>
      <w:r>
        <w:rPr>
          <w:noProof/>
        </w:rPr>
        <w:t>1</w:t>
      </w:r>
      <w:r>
        <w:fldChar w:fldCharType="end"/>
      </w:r>
      <w:r>
        <w:t xml:space="preserve">: Adopt the FR2c MU estimates outlined in </w:t>
      </w:r>
      <w:r>
        <w:fldChar w:fldCharType="begin"/>
      </w:r>
      <w:r>
        <w:instrText xml:space="preserve"> REF _Ref31204094 \h </w:instrText>
      </w:r>
      <w:r>
        <w:fldChar w:fldCharType="separate"/>
      </w:r>
      <w:r>
        <w:t xml:space="preserve">Table </w:t>
      </w:r>
      <w:r>
        <w:rPr>
          <w:noProof/>
        </w:rPr>
        <w:t>1</w:t>
      </w:r>
      <w:r>
        <w:fldChar w:fldCharType="end"/>
      </w:r>
      <w:r>
        <w:t xml:space="preserve"> and </w:t>
      </w:r>
      <w:r>
        <w:fldChar w:fldCharType="begin"/>
      </w:r>
      <w:r>
        <w:instrText xml:space="preserve"> REF _Ref31192080 \h </w:instrText>
      </w:r>
      <w:r>
        <w:fldChar w:fldCharType="separate"/>
      </w:r>
      <w:r>
        <w:t xml:space="preserve">Table </w:t>
      </w:r>
      <w:r>
        <w:rPr>
          <w:noProof/>
        </w:rPr>
        <w:t>2</w:t>
      </w:r>
      <w:r>
        <w:fldChar w:fldCharType="end"/>
      </w:r>
      <w:r>
        <w:t xml:space="preserve"> as preliminary, non-binding MU values </w:t>
      </w:r>
      <w:r w:rsidR="000B1E15">
        <w:t xml:space="preserve">for </w:t>
      </w:r>
      <w:r w:rsidRPr="0070080D">
        <w:t>TT calculation</w:t>
      </w:r>
      <w:r>
        <w:t>.</w:t>
      </w:r>
      <w:bookmarkEnd w:id="9"/>
    </w:p>
    <w:bookmarkEnd w:id="2"/>
    <w:p w14:paraId="35952390" w14:textId="77777777" w:rsidR="008B0529" w:rsidRDefault="0053435C" w:rsidP="0053435C">
      <w:pPr>
        <w:pStyle w:val="Heading1"/>
        <w:ind w:left="567" w:hanging="567"/>
      </w:pPr>
      <w:r>
        <w:t>Conclusion</w:t>
      </w:r>
    </w:p>
    <w:p w14:paraId="35952391" w14:textId="1E4AAC6A" w:rsidR="008B0529" w:rsidRDefault="0053435C" w:rsidP="008B0529">
      <w:r>
        <w:t>The following observations and proposals were made in this contribution</w:t>
      </w:r>
    </w:p>
    <w:p w14:paraId="31C52278" w14:textId="5D17C27C" w:rsidR="00554FF2" w:rsidRPr="00C511A2" w:rsidRDefault="00554FF2" w:rsidP="008B0529">
      <w:pPr>
        <w:rPr>
          <w:b/>
          <w:bCs/>
        </w:rPr>
      </w:pPr>
      <w:r w:rsidRPr="00C511A2">
        <w:rPr>
          <w:b/>
          <w:bCs/>
        </w:rPr>
        <w:fldChar w:fldCharType="begin"/>
      </w:r>
      <w:r w:rsidRPr="00C511A2">
        <w:rPr>
          <w:b/>
          <w:bCs/>
        </w:rPr>
        <w:instrText xml:space="preserve"> REF _Ref31204226 \h  \* MERGEFORMAT </w:instrText>
      </w:r>
      <w:r w:rsidRPr="00C511A2">
        <w:rPr>
          <w:b/>
          <w:bCs/>
        </w:rPr>
      </w:r>
      <w:r w:rsidRPr="00C511A2">
        <w:rPr>
          <w:b/>
          <w:bCs/>
        </w:rPr>
        <w:fldChar w:fldCharType="separate"/>
      </w:r>
      <w:r w:rsidR="00C511A2" w:rsidRPr="00C511A2">
        <w:rPr>
          <w:b/>
          <w:bCs/>
        </w:rPr>
        <w:t xml:space="preserve">Proposal </w:t>
      </w:r>
      <w:r w:rsidR="00C511A2" w:rsidRPr="00C511A2">
        <w:rPr>
          <w:b/>
          <w:bCs/>
          <w:noProof/>
        </w:rPr>
        <w:t>1</w:t>
      </w:r>
      <w:r w:rsidR="00C511A2" w:rsidRPr="00C511A2">
        <w:rPr>
          <w:b/>
          <w:bCs/>
        </w:rPr>
        <w:t xml:space="preserve">: Adopt the FR2c MU estimates outlined in Table </w:t>
      </w:r>
      <w:r w:rsidR="00C511A2" w:rsidRPr="00C511A2">
        <w:rPr>
          <w:b/>
          <w:bCs/>
          <w:noProof/>
        </w:rPr>
        <w:t>1</w:t>
      </w:r>
      <w:r w:rsidR="00C511A2" w:rsidRPr="00C511A2">
        <w:rPr>
          <w:b/>
          <w:bCs/>
        </w:rPr>
        <w:t xml:space="preserve"> and Table </w:t>
      </w:r>
      <w:r w:rsidR="00C511A2" w:rsidRPr="00C511A2">
        <w:rPr>
          <w:b/>
          <w:bCs/>
          <w:noProof/>
        </w:rPr>
        <w:t>2</w:t>
      </w:r>
      <w:r w:rsidR="00C511A2" w:rsidRPr="00C511A2">
        <w:rPr>
          <w:b/>
          <w:bCs/>
        </w:rPr>
        <w:t xml:space="preserve"> as preliminary, non-binding MU values for TT calculation.</w:t>
      </w:r>
      <w:r w:rsidRPr="00C511A2">
        <w:rPr>
          <w:b/>
          <w:bCs/>
        </w:rPr>
        <w:fldChar w:fldCharType="end"/>
      </w:r>
    </w:p>
    <w:p w14:paraId="35952392" w14:textId="77777777" w:rsidR="00DD1C07" w:rsidRDefault="00DD1C07" w:rsidP="00DD1C07">
      <w:pPr>
        <w:pStyle w:val="Heading1"/>
        <w:ind w:left="567" w:hanging="567"/>
      </w:pPr>
      <w:r>
        <w:t>References</w:t>
      </w:r>
    </w:p>
    <w:p w14:paraId="35952393" w14:textId="697ABD8D" w:rsidR="000547AB" w:rsidRDefault="0070080D" w:rsidP="00236683">
      <w:pPr>
        <w:numPr>
          <w:ilvl w:val="0"/>
          <w:numId w:val="5"/>
        </w:numPr>
        <w:tabs>
          <w:tab w:val="left" w:pos="426"/>
        </w:tabs>
        <w:overflowPunct w:val="0"/>
        <w:autoSpaceDE w:val="0"/>
        <w:autoSpaceDN w:val="0"/>
        <w:adjustRightInd w:val="0"/>
        <w:textAlignment w:val="baseline"/>
      </w:pPr>
      <w:bookmarkStart w:id="10" w:name="_Ref31188387"/>
      <w:r w:rsidRPr="0070080D">
        <w:t>R5-198071</w:t>
      </w:r>
      <w:r>
        <w:t xml:space="preserve">, </w:t>
      </w:r>
      <w:r w:rsidRPr="0070080D">
        <w:t>WF on Band n259</w:t>
      </w:r>
      <w:r>
        <w:t xml:space="preserve">, </w:t>
      </w:r>
      <w:r w:rsidRPr="0070080D">
        <w:t>NTT DOCOMO, INC.</w:t>
      </w:r>
      <w:r>
        <w:t xml:space="preserve">, </w:t>
      </w:r>
      <w:r w:rsidRPr="0070080D">
        <w:t>3GPP TSG-RAN5 Meeting #85</w:t>
      </w:r>
      <w:r>
        <w:t>, November 2019</w:t>
      </w:r>
      <w:bookmarkEnd w:id="10"/>
    </w:p>
    <w:p w14:paraId="24C6C987" w14:textId="0643DF8F" w:rsidR="00130678" w:rsidRPr="00052390" w:rsidRDefault="00130678" w:rsidP="00236683">
      <w:pPr>
        <w:numPr>
          <w:ilvl w:val="0"/>
          <w:numId w:val="5"/>
        </w:numPr>
        <w:tabs>
          <w:tab w:val="left" w:pos="426"/>
        </w:tabs>
        <w:overflowPunct w:val="0"/>
        <w:autoSpaceDE w:val="0"/>
        <w:autoSpaceDN w:val="0"/>
        <w:adjustRightInd w:val="0"/>
        <w:textAlignment w:val="baseline"/>
      </w:pPr>
      <w:bookmarkStart w:id="11" w:name="_Ref31189917"/>
      <w:r w:rsidRPr="00130678">
        <w:t>RP-192802</w:t>
      </w:r>
      <w:r>
        <w:t xml:space="preserve">, </w:t>
      </w:r>
      <w:r w:rsidRPr="00130678">
        <w:t>Status report for WI Introduction of NR band n259</w:t>
      </w:r>
      <w:r>
        <w:t xml:space="preserve">, Ericsson, </w:t>
      </w:r>
      <w:r w:rsidRPr="00130678">
        <w:t>3GPP TSG RAN meeting #86</w:t>
      </w:r>
      <w:r>
        <w:t>, December 2019</w:t>
      </w:r>
      <w:bookmarkEnd w:id="11"/>
    </w:p>
    <w:sectPr w:rsidR="0013067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C511A2" w:rsidRDefault="00C511A2">
      <w:r>
        <w:separator/>
      </w:r>
    </w:p>
  </w:endnote>
  <w:endnote w:type="continuationSeparator" w:id="0">
    <w:p w14:paraId="2B745E73" w14:textId="77777777" w:rsidR="00C511A2" w:rsidRDefault="00C511A2">
      <w:r>
        <w:continuationSeparator/>
      </w:r>
    </w:p>
  </w:endnote>
  <w:endnote w:type="continuationNotice" w:id="1">
    <w:p w14:paraId="10E66845" w14:textId="77777777" w:rsidR="00C511A2" w:rsidRDefault="00C51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C511A2" w:rsidRDefault="00C511A2">
      <w:r>
        <w:separator/>
      </w:r>
    </w:p>
  </w:footnote>
  <w:footnote w:type="continuationSeparator" w:id="0">
    <w:p w14:paraId="3D6D4D42" w14:textId="77777777" w:rsidR="00C511A2" w:rsidRDefault="00C511A2">
      <w:r>
        <w:continuationSeparator/>
      </w:r>
    </w:p>
  </w:footnote>
  <w:footnote w:type="continuationNotice" w:id="1">
    <w:p w14:paraId="3391714E" w14:textId="77777777" w:rsidR="00C511A2" w:rsidRDefault="00C511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2140D"/>
    <w:multiLevelType w:val="hybridMultilevel"/>
    <w:tmpl w:val="D8CA4D68"/>
    <w:lvl w:ilvl="0" w:tplc="DC6CBB02">
      <w:start w:val="1"/>
      <w:numFmt w:val="bullet"/>
      <w:lvlText w:val=""/>
      <w:lvlJc w:val="left"/>
      <w:pPr>
        <w:tabs>
          <w:tab w:val="num" w:pos="720"/>
        </w:tabs>
        <w:ind w:left="720" w:hanging="360"/>
      </w:pPr>
      <w:rPr>
        <w:rFonts w:ascii="Wingdings" w:hAnsi="Wingdings" w:hint="default"/>
      </w:rPr>
    </w:lvl>
    <w:lvl w:ilvl="1" w:tplc="B01A5A2C">
      <w:numFmt w:val="bullet"/>
      <w:lvlText w:val=""/>
      <w:lvlJc w:val="left"/>
      <w:pPr>
        <w:tabs>
          <w:tab w:val="num" w:pos="1440"/>
        </w:tabs>
        <w:ind w:left="1440" w:hanging="360"/>
      </w:pPr>
      <w:rPr>
        <w:rFonts w:ascii="Wingdings" w:hAnsi="Wingdings" w:hint="default"/>
      </w:rPr>
    </w:lvl>
    <w:lvl w:ilvl="2" w:tplc="A17CC08E" w:tentative="1">
      <w:start w:val="1"/>
      <w:numFmt w:val="bullet"/>
      <w:lvlText w:val=""/>
      <w:lvlJc w:val="left"/>
      <w:pPr>
        <w:tabs>
          <w:tab w:val="num" w:pos="2160"/>
        </w:tabs>
        <w:ind w:left="2160" w:hanging="360"/>
      </w:pPr>
      <w:rPr>
        <w:rFonts w:ascii="Wingdings" w:hAnsi="Wingdings" w:hint="default"/>
      </w:rPr>
    </w:lvl>
    <w:lvl w:ilvl="3" w:tplc="B29ECC38" w:tentative="1">
      <w:start w:val="1"/>
      <w:numFmt w:val="bullet"/>
      <w:lvlText w:val=""/>
      <w:lvlJc w:val="left"/>
      <w:pPr>
        <w:tabs>
          <w:tab w:val="num" w:pos="2880"/>
        </w:tabs>
        <w:ind w:left="2880" w:hanging="360"/>
      </w:pPr>
      <w:rPr>
        <w:rFonts w:ascii="Wingdings" w:hAnsi="Wingdings" w:hint="default"/>
      </w:rPr>
    </w:lvl>
    <w:lvl w:ilvl="4" w:tplc="14CE9834" w:tentative="1">
      <w:start w:val="1"/>
      <w:numFmt w:val="bullet"/>
      <w:lvlText w:val=""/>
      <w:lvlJc w:val="left"/>
      <w:pPr>
        <w:tabs>
          <w:tab w:val="num" w:pos="3600"/>
        </w:tabs>
        <w:ind w:left="3600" w:hanging="360"/>
      </w:pPr>
      <w:rPr>
        <w:rFonts w:ascii="Wingdings" w:hAnsi="Wingdings" w:hint="default"/>
      </w:rPr>
    </w:lvl>
    <w:lvl w:ilvl="5" w:tplc="A1F26B60" w:tentative="1">
      <w:start w:val="1"/>
      <w:numFmt w:val="bullet"/>
      <w:lvlText w:val=""/>
      <w:lvlJc w:val="left"/>
      <w:pPr>
        <w:tabs>
          <w:tab w:val="num" w:pos="4320"/>
        </w:tabs>
        <w:ind w:left="4320" w:hanging="360"/>
      </w:pPr>
      <w:rPr>
        <w:rFonts w:ascii="Wingdings" w:hAnsi="Wingdings" w:hint="default"/>
      </w:rPr>
    </w:lvl>
    <w:lvl w:ilvl="6" w:tplc="9C5AA750" w:tentative="1">
      <w:start w:val="1"/>
      <w:numFmt w:val="bullet"/>
      <w:lvlText w:val=""/>
      <w:lvlJc w:val="left"/>
      <w:pPr>
        <w:tabs>
          <w:tab w:val="num" w:pos="5040"/>
        </w:tabs>
        <w:ind w:left="5040" w:hanging="360"/>
      </w:pPr>
      <w:rPr>
        <w:rFonts w:ascii="Wingdings" w:hAnsi="Wingdings" w:hint="default"/>
      </w:rPr>
    </w:lvl>
    <w:lvl w:ilvl="7" w:tplc="2AAC914C" w:tentative="1">
      <w:start w:val="1"/>
      <w:numFmt w:val="bullet"/>
      <w:lvlText w:val=""/>
      <w:lvlJc w:val="left"/>
      <w:pPr>
        <w:tabs>
          <w:tab w:val="num" w:pos="5760"/>
        </w:tabs>
        <w:ind w:left="5760" w:hanging="360"/>
      </w:pPr>
      <w:rPr>
        <w:rFonts w:ascii="Wingdings" w:hAnsi="Wingdings" w:hint="default"/>
      </w:rPr>
    </w:lvl>
    <w:lvl w:ilvl="8" w:tplc="9990C03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1E15"/>
    <w:rsid w:val="000B25D3"/>
    <w:rsid w:val="000C2440"/>
    <w:rsid w:val="000C3463"/>
    <w:rsid w:val="000C640F"/>
    <w:rsid w:val="000D39C6"/>
    <w:rsid w:val="000D6B69"/>
    <w:rsid w:val="000D6CFC"/>
    <w:rsid w:val="000E24A4"/>
    <w:rsid w:val="00114DB9"/>
    <w:rsid w:val="00116213"/>
    <w:rsid w:val="001174D8"/>
    <w:rsid w:val="00121323"/>
    <w:rsid w:val="00122845"/>
    <w:rsid w:val="00124141"/>
    <w:rsid w:val="001258E2"/>
    <w:rsid w:val="0013001E"/>
    <w:rsid w:val="00130678"/>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4742B"/>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034D"/>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4FF2"/>
    <w:rsid w:val="005550DD"/>
    <w:rsid w:val="00556929"/>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302"/>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080D"/>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3C07"/>
    <w:rsid w:val="0097539D"/>
    <w:rsid w:val="009767AC"/>
    <w:rsid w:val="00980E79"/>
    <w:rsid w:val="00982B7E"/>
    <w:rsid w:val="00983910"/>
    <w:rsid w:val="00984E5F"/>
    <w:rsid w:val="009913F6"/>
    <w:rsid w:val="00992B5F"/>
    <w:rsid w:val="00997D88"/>
    <w:rsid w:val="009A282A"/>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AB7"/>
    <w:rsid w:val="00C42F12"/>
    <w:rsid w:val="00C451D8"/>
    <w:rsid w:val="00C475DA"/>
    <w:rsid w:val="00C511A2"/>
    <w:rsid w:val="00C56792"/>
    <w:rsid w:val="00C6278C"/>
    <w:rsid w:val="00C63AA2"/>
    <w:rsid w:val="00C65422"/>
    <w:rsid w:val="00C6599B"/>
    <w:rsid w:val="00C76F04"/>
    <w:rsid w:val="00C77643"/>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0437"/>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216F"/>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 w:val="1D20DBF7"/>
    <w:rsid w:val="49E91C0B"/>
    <w:rsid w:val="584230C2"/>
    <w:rsid w:val="7FABE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table" w:styleId="TableTheme">
    <w:name w:val="Table Theme"/>
    <w:basedOn w:val="TableNormal"/>
    <w:rsid w:val="0070080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0625">
      <w:bodyDiv w:val="1"/>
      <w:marLeft w:val="0"/>
      <w:marRight w:val="0"/>
      <w:marTop w:val="0"/>
      <w:marBottom w:val="0"/>
      <w:divBdr>
        <w:top w:val="none" w:sz="0" w:space="0" w:color="auto"/>
        <w:left w:val="none" w:sz="0" w:space="0" w:color="auto"/>
        <w:bottom w:val="none" w:sz="0" w:space="0" w:color="auto"/>
        <w:right w:val="none" w:sz="0" w:space="0" w:color="auto"/>
      </w:divBdr>
    </w:div>
    <w:div w:id="93982806">
      <w:bodyDiv w:val="1"/>
      <w:marLeft w:val="0"/>
      <w:marRight w:val="0"/>
      <w:marTop w:val="0"/>
      <w:marBottom w:val="0"/>
      <w:divBdr>
        <w:top w:val="none" w:sz="0" w:space="0" w:color="auto"/>
        <w:left w:val="none" w:sz="0" w:space="0" w:color="auto"/>
        <w:bottom w:val="none" w:sz="0" w:space="0" w:color="auto"/>
        <w:right w:val="none" w:sz="0" w:space="0" w:color="auto"/>
      </w:divBdr>
    </w:div>
    <w:div w:id="728840528">
      <w:bodyDiv w:val="1"/>
      <w:marLeft w:val="0"/>
      <w:marRight w:val="0"/>
      <w:marTop w:val="0"/>
      <w:marBottom w:val="0"/>
      <w:divBdr>
        <w:top w:val="none" w:sz="0" w:space="0" w:color="auto"/>
        <w:left w:val="none" w:sz="0" w:space="0" w:color="auto"/>
        <w:bottom w:val="none" w:sz="0" w:space="0" w:color="auto"/>
        <w:right w:val="none" w:sz="0" w:space="0" w:color="auto"/>
      </w:divBdr>
    </w:div>
    <w:div w:id="731078452">
      <w:bodyDiv w:val="1"/>
      <w:marLeft w:val="0"/>
      <w:marRight w:val="0"/>
      <w:marTop w:val="0"/>
      <w:marBottom w:val="0"/>
      <w:divBdr>
        <w:top w:val="none" w:sz="0" w:space="0" w:color="auto"/>
        <w:left w:val="none" w:sz="0" w:space="0" w:color="auto"/>
        <w:bottom w:val="none" w:sz="0" w:space="0" w:color="auto"/>
        <w:right w:val="none" w:sz="0" w:space="0" w:color="auto"/>
      </w:divBdr>
    </w:div>
    <w:div w:id="913780851">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96299700">
      <w:bodyDiv w:val="1"/>
      <w:marLeft w:val="0"/>
      <w:marRight w:val="0"/>
      <w:marTop w:val="0"/>
      <w:marBottom w:val="0"/>
      <w:divBdr>
        <w:top w:val="none" w:sz="0" w:space="0" w:color="auto"/>
        <w:left w:val="none" w:sz="0" w:space="0" w:color="auto"/>
        <w:bottom w:val="none" w:sz="0" w:space="0" w:color="auto"/>
        <w:right w:val="none" w:sz="0" w:space="0" w:color="auto"/>
      </w:divBdr>
      <w:divsChild>
        <w:div w:id="1207178676">
          <w:marLeft w:val="562"/>
          <w:marRight w:val="0"/>
          <w:marTop w:val="200"/>
          <w:marBottom w:val="0"/>
          <w:divBdr>
            <w:top w:val="none" w:sz="0" w:space="0" w:color="auto"/>
            <w:left w:val="none" w:sz="0" w:space="0" w:color="auto"/>
            <w:bottom w:val="none" w:sz="0" w:space="0" w:color="auto"/>
            <w:right w:val="none" w:sz="0" w:space="0" w:color="auto"/>
          </w:divBdr>
        </w:div>
        <w:div w:id="105469058">
          <w:marLeft w:val="1138"/>
          <w:marRight w:val="0"/>
          <w:marTop w:val="200"/>
          <w:marBottom w:val="0"/>
          <w:divBdr>
            <w:top w:val="none" w:sz="0" w:space="0" w:color="auto"/>
            <w:left w:val="none" w:sz="0" w:space="0" w:color="auto"/>
            <w:bottom w:val="none" w:sz="0" w:space="0" w:color="auto"/>
            <w:right w:val="none" w:sz="0" w:space="0" w:color="auto"/>
          </w:divBdr>
        </w:div>
        <w:div w:id="184447334">
          <w:marLeft w:val="1138"/>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purl.org/dc/elements/1.1/"/>
    <ds:schemaRef ds:uri="bdd78157-346c-4767-bfdd-352789a5c5f1"/>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878f5c59-aec9-459c-acf8-8cf941473193"/>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AF1F14DF-A56B-42AA-9201-85075624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708</Words>
  <Characters>4078</Characters>
  <Application>Microsoft Office Word</Application>
  <DocSecurity>0</DocSecurity>
  <Lines>33</Lines>
  <Paragraphs>9</Paragraphs>
  <ScaleCrop>false</ScaleCrop>
  <Company/>
  <LinksUpToDate>false</LinksUpToDate>
  <CharactersWithSpaces>4777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14</cp:revision>
  <dcterms:created xsi:type="dcterms:W3CDTF">2019-06-30T20:45:00Z</dcterms:created>
  <dcterms:modified xsi:type="dcterms:W3CDTF">2020-02-11T15:26:00Z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